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206D50" w14:textId="77777777" w:rsidR="007B31D6" w:rsidRPr="007B31D6" w:rsidRDefault="007B31D6" w:rsidP="00ED1201">
      <w:pPr>
        <w:pStyle w:val="Normal1"/>
        <w:pBdr>
          <w:top w:val="single" w:sz="4" w:space="1" w:color="auto"/>
          <w:bottom w:val="single" w:sz="6" w:space="1" w:color="auto"/>
        </w:pBdr>
        <w:ind w:firstLine="720"/>
        <w:rPr>
          <w:sz w:val="52"/>
          <w:szCs w:val="52"/>
        </w:rPr>
      </w:pPr>
      <w:r>
        <w:rPr>
          <w:sz w:val="52"/>
          <w:szCs w:val="52"/>
        </w:rPr>
        <w:t>Underground Storage Tank Fact Sheet</w:t>
      </w:r>
    </w:p>
    <w:p w14:paraId="29689E0C" w14:textId="2D83F92B" w:rsidR="006D5495" w:rsidRPr="006D5495" w:rsidRDefault="007B31D6" w:rsidP="006D5495">
      <w:pPr>
        <w:pStyle w:val="Heading2"/>
      </w:pPr>
      <w:bookmarkStart w:id="0" w:name="h.ss5v9o9did74" w:colFirst="0" w:colLast="0"/>
      <w:bookmarkEnd w:id="0"/>
      <w:r>
        <w:t xml:space="preserve">The Problem: </w:t>
      </w:r>
    </w:p>
    <w:p w14:paraId="5D65FBAF" w14:textId="4764685C" w:rsidR="006D5495" w:rsidRPr="006263CC" w:rsidRDefault="007B31D6" w:rsidP="006D5495">
      <w:pPr>
        <w:pStyle w:val="Normal1"/>
      </w:pPr>
      <w:bookmarkStart w:id="1" w:name="_GoBack"/>
      <w:bookmarkEnd w:id="1"/>
      <w:r>
        <w:tab/>
        <w:t xml:space="preserve">In Massachusetts, M.G.L c 21J governs a fund for the cleanup of underground storage tank (UST) oil spills. In the event of a spill, the UST owner/operator can </w:t>
      </w:r>
      <w:r w:rsidR="006D5495">
        <w:t xml:space="preserve">directly access the fund for cleanup of the entire spill and </w:t>
      </w:r>
      <w:r>
        <w:t>receive up to $</w:t>
      </w:r>
      <w:r w:rsidR="006D5495">
        <w:t>1.5 million. An additional $1 million is set aside specifically for third party damages, in the case the original $1.5 million is spent. However, third parties do not have direct access to the additional $1 million and must obtain a court judgement. Other states have comprehensive language that allows third parties to access property loss damages more effectively.</w:t>
      </w:r>
      <w:bookmarkStart w:id="2" w:name="h.hq8l8tql5d46" w:colFirst="0" w:colLast="0"/>
      <w:bookmarkEnd w:id="2"/>
    </w:p>
    <w:tbl>
      <w:tblPr>
        <w:tblStyle w:val="a"/>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5090"/>
        <w:gridCol w:w="5080"/>
      </w:tblGrid>
      <w:tr w:rsidR="00030102" w14:paraId="3BF56E6E" w14:textId="77777777" w:rsidTr="006263CC">
        <w:trPr>
          <w:trHeight w:val="4779"/>
        </w:trPr>
        <w:tc>
          <w:tcPr>
            <w:tcW w:w="5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14:paraId="412DB316" w14:textId="77777777" w:rsidR="006263CC" w:rsidRDefault="006263CC">
            <w:pPr>
              <w:pStyle w:val="Heading3"/>
            </w:pPr>
            <w:bookmarkStart w:id="3" w:name="h.k6zvqaqxs5ps" w:colFirst="0" w:colLast="0"/>
            <w:bookmarkEnd w:id="3"/>
            <w:r>
              <w:rPr>
                <w:sz w:val="26"/>
                <w:szCs w:val="26"/>
              </w:rPr>
              <w:t>Other States</w:t>
            </w:r>
            <w:r>
              <w:t xml:space="preserve"> </w:t>
            </w:r>
          </w:p>
          <w:p w14:paraId="7C23C32D" w14:textId="113C1768" w:rsidR="00030102" w:rsidRDefault="007B31D6">
            <w:pPr>
              <w:pStyle w:val="Heading3"/>
            </w:pPr>
            <w:r>
              <w:t>New Jersey:</w:t>
            </w:r>
          </w:p>
          <w:p w14:paraId="030389A4" w14:textId="097C4DD5" w:rsidR="00030102" w:rsidRDefault="007B31D6">
            <w:pPr>
              <w:pStyle w:val="Normal1"/>
              <w:numPr>
                <w:ilvl w:val="0"/>
                <w:numId w:val="4"/>
              </w:numPr>
              <w:ind w:hanging="360"/>
              <w:contextualSpacing/>
            </w:pPr>
            <w:r>
              <w:t xml:space="preserve">Funding cap is </w:t>
            </w:r>
            <w:r w:rsidR="00535122">
              <w:t>$</w:t>
            </w:r>
            <w:r>
              <w:t>2-3 million</w:t>
            </w:r>
          </w:p>
          <w:p w14:paraId="39C40875" w14:textId="77777777" w:rsidR="00030102" w:rsidRDefault="007B31D6">
            <w:pPr>
              <w:pStyle w:val="Normal1"/>
              <w:numPr>
                <w:ilvl w:val="0"/>
                <w:numId w:val="4"/>
              </w:numPr>
              <w:ind w:hanging="360"/>
              <w:contextualSpacing/>
            </w:pPr>
            <w:r>
              <w:t>Direct access to cleanup funding for third parties</w:t>
            </w:r>
          </w:p>
          <w:p w14:paraId="30854CF8" w14:textId="77777777" w:rsidR="00030102" w:rsidRDefault="007B31D6">
            <w:pPr>
              <w:pStyle w:val="Normal1"/>
              <w:numPr>
                <w:ilvl w:val="0"/>
                <w:numId w:val="4"/>
              </w:numPr>
              <w:ind w:hanging="360"/>
              <w:contextualSpacing/>
            </w:pPr>
            <w:r>
              <w:t>Required fact sheets and updates to third parties</w:t>
            </w:r>
          </w:p>
          <w:p w14:paraId="04E6961F" w14:textId="77777777" w:rsidR="00030102" w:rsidRDefault="007B31D6">
            <w:pPr>
              <w:pStyle w:val="Heading3"/>
            </w:pPr>
            <w:bookmarkStart w:id="4" w:name="h.xky5hvik7k0j" w:colFirst="0" w:colLast="0"/>
            <w:bookmarkEnd w:id="4"/>
            <w:r>
              <w:t>New York:</w:t>
            </w:r>
          </w:p>
          <w:p w14:paraId="1D19D671" w14:textId="77777777" w:rsidR="00030102" w:rsidRDefault="007B31D6">
            <w:pPr>
              <w:pStyle w:val="Normal1"/>
              <w:numPr>
                <w:ilvl w:val="0"/>
                <w:numId w:val="5"/>
              </w:numPr>
              <w:ind w:hanging="360"/>
              <w:contextualSpacing/>
            </w:pPr>
            <w:r>
              <w:t>No funding cap on UST spill cleanup</w:t>
            </w:r>
          </w:p>
          <w:p w14:paraId="034462DA" w14:textId="77777777" w:rsidR="00030102" w:rsidRDefault="007B31D6">
            <w:pPr>
              <w:pStyle w:val="Normal1"/>
              <w:numPr>
                <w:ilvl w:val="0"/>
                <w:numId w:val="5"/>
              </w:numPr>
              <w:ind w:hanging="360"/>
              <w:contextualSpacing/>
            </w:pPr>
            <w:r>
              <w:t>Direct access to cleanup funding for third parties</w:t>
            </w:r>
          </w:p>
          <w:p w14:paraId="719108B4" w14:textId="77777777" w:rsidR="00030102" w:rsidRDefault="007B31D6">
            <w:pPr>
              <w:pStyle w:val="Normal1"/>
              <w:numPr>
                <w:ilvl w:val="0"/>
                <w:numId w:val="5"/>
              </w:numPr>
              <w:ind w:hanging="360"/>
              <w:contextualSpacing/>
            </w:pPr>
            <w:r>
              <w:t>Stipulation agreement with PRP discusses proper cleanup before execution</w:t>
            </w:r>
          </w:p>
        </w:tc>
        <w:tc>
          <w:tcPr>
            <w:tcW w:w="5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tcPr>
          <w:p w14:paraId="495A9E0A" w14:textId="77777777" w:rsidR="006263CC" w:rsidRDefault="006263CC">
            <w:pPr>
              <w:pStyle w:val="Heading3"/>
            </w:pPr>
            <w:bookmarkStart w:id="5" w:name="h.p52hziuwrakx" w:colFirst="0" w:colLast="0"/>
            <w:bookmarkEnd w:id="5"/>
          </w:p>
          <w:p w14:paraId="6407D47B" w14:textId="77777777" w:rsidR="00030102" w:rsidRDefault="007B31D6">
            <w:pPr>
              <w:pStyle w:val="Heading3"/>
            </w:pPr>
            <w:r>
              <w:t xml:space="preserve">Florida: </w:t>
            </w:r>
          </w:p>
          <w:p w14:paraId="1B6F639A" w14:textId="77777777" w:rsidR="00030102" w:rsidRDefault="007B31D6">
            <w:pPr>
              <w:pStyle w:val="Normal1"/>
              <w:numPr>
                <w:ilvl w:val="0"/>
                <w:numId w:val="2"/>
              </w:numPr>
              <w:ind w:hanging="360"/>
              <w:contextualSpacing/>
            </w:pPr>
            <w:r>
              <w:t>No funding cap on UST spill cleanup</w:t>
            </w:r>
          </w:p>
          <w:p w14:paraId="1B4CDA86" w14:textId="77777777" w:rsidR="00030102" w:rsidRDefault="007B31D6">
            <w:pPr>
              <w:pStyle w:val="Normal1"/>
              <w:numPr>
                <w:ilvl w:val="0"/>
                <w:numId w:val="2"/>
              </w:numPr>
              <w:ind w:hanging="360"/>
              <w:contextualSpacing/>
            </w:pPr>
            <w:r>
              <w:t>Cleanup cost discussed before execution</w:t>
            </w:r>
          </w:p>
          <w:p w14:paraId="6E67F668" w14:textId="77777777" w:rsidR="00030102" w:rsidRDefault="007B31D6">
            <w:pPr>
              <w:pStyle w:val="Normal1"/>
              <w:numPr>
                <w:ilvl w:val="0"/>
                <w:numId w:val="2"/>
              </w:numPr>
              <w:ind w:hanging="360"/>
              <w:contextualSpacing/>
            </w:pPr>
            <w:r>
              <w:t>High DEP involvement due to spongy bedrock and high reliance on groundwater for drinking</w:t>
            </w:r>
          </w:p>
          <w:p w14:paraId="2564E8AC" w14:textId="208D6C33" w:rsidR="00030102" w:rsidRDefault="007B31D6">
            <w:pPr>
              <w:pStyle w:val="Normal1"/>
              <w:numPr>
                <w:ilvl w:val="0"/>
                <w:numId w:val="2"/>
              </w:numPr>
              <w:ind w:hanging="360"/>
              <w:contextualSpacing/>
            </w:pPr>
            <w:r>
              <w:t>Public Educational programs available</w:t>
            </w:r>
          </w:p>
          <w:p w14:paraId="2B3ECFC0" w14:textId="77777777" w:rsidR="00030102" w:rsidRDefault="007B31D6">
            <w:pPr>
              <w:pStyle w:val="Heading3"/>
            </w:pPr>
            <w:bookmarkStart w:id="6" w:name="h.kyqlzwqi5jj3" w:colFirst="0" w:colLast="0"/>
            <w:bookmarkEnd w:id="6"/>
            <w:r>
              <w:t>New Hampshire:</w:t>
            </w:r>
          </w:p>
          <w:p w14:paraId="23B4B43F" w14:textId="77777777" w:rsidR="00030102" w:rsidRDefault="007B31D6">
            <w:pPr>
              <w:pStyle w:val="Normal1"/>
              <w:numPr>
                <w:ilvl w:val="0"/>
                <w:numId w:val="1"/>
              </w:numPr>
              <w:spacing w:after="0" w:line="240" w:lineRule="auto"/>
              <w:ind w:hanging="360"/>
              <w:contextualSpacing/>
            </w:pPr>
            <w:r>
              <w:t>$2 million funding cap</w:t>
            </w:r>
          </w:p>
          <w:p w14:paraId="667390E7" w14:textId="77777777" w:rsidR="00030102" w:rsidRDefault="007B31D6">
            <w:pPr>
              <w:pStyle w:val="Normal1"/>
              <w:numPr>
                <w:ilvl w:val="0"/>
                <w:numId w:val="1"/>
              </w:numPr>
              <w:spacing w:after="0" w:line="240" w:lineRule="auto"/>
              <w:ind w:hanging="360"/>
              <w:contextualSpacing/>
            </w:pPr>
            <w:r>
              <w:t>State agency involvement when drinking water is impacted</w:t>
            </w:r>
          </w:p>
          <w:p w14:paraId="7A8ADAB6" w14:textId="77777777" w:rsidR="00030102" w:rsidRDefault="007B31D6">
            <w:pPr>
              <w:pStyle w:val="Normal1"/>
              <w:numPr>
                <w:ilvl w:val="0"/>
                <w:numId w:val="1"/>
              </w:numPr>
              <w:spacing w:after="0" w:line="240" w:lineRule="auto"/>
              <w:ind w:hanging="360"/>
              <w:contextualSpacing/>
            </w:pPr>
            <w:r>
              <w:t>Notification sent to public about contamination</w:t>
            </w:r>
          </w:p>
        </w:tc>
      </w:tr>
    </w:tbl>
    <w:p w14:paraId="24FD761D" w14:textId="0B16B10D" w:rsidR="009A270F" w:rsidRPr="009A270F" w:rsidRDefault="005757DA" w:rsidP="00F67093">
      <w:pPr>
        <w:pStyle w:val="Heading2"/>
      </w:pPr>
      <w:r>
        <w:t>T</w:t>
      </w:r>
      <w:r w:rsidR="007B31D6">
        <w:t>he Solution:</w:t>
      </w:r>
    </w:p>
    <w:p w14:paraId="2646D590" w14:textId="77777777" w:rsidR="00030102" w:rsidRDefault="007B31D6">
      <w:pPr>
        <w:pStyle w:val="Normal1"/>
        <w:widowControl/>
        <w:numPr>
          <w:ilvl w:val="0"/>
          <w:numId w:val="3"/>
        </w:numPr>
        <w:spacing w:after="0"/>
        <w:ind w:hanging="360"/>
        <w:contextualSpacing/>
        <w:rPr>
          <w:rFonts w:asciiTheme="minorHAnsi" w:eastAsia="Arial" w:hAnsiTheme="minorHAnsi" w:cs="Arial"/>
          <w:b/>
        </w:rPr>
      </w:pPr>
      <w:r w:rsidRPr="00520093">
        <w:rPr>
          <w:rFonts w:asciiTheme="minorHAnsi" w:eastAsia="Arial" w:hAnsiTheme="minorHAnsi" w:cs="Arial"/>
          <w:b/>
        </w:rPr>
        <w:t xml:space="preserve"> Third parties should have direct access to the 21J fund for property loss damages.</w:t>
      </w:r>
    </w:p>
    <w:p w14:paraId="2B55D1C3" w14:textId="77777777" w:rsidR="000A7FA2" w:rsidRPr="00520093" w:rsidRDefault="000A7FA2" w:rsidP="000A7FA2">
      <w:pPr>
        <w:pStyle w:val="Normal1"/>
        <w:widowControl/>
        <w:spacing w:after="0"/>
        <w:ind w:left="720"/>
        <w:contextualSpacing/>
        <w:rPr>
          <w:rFonts w:asciiTheme="minorHAnsi" w:eastAsia="Arial" w:hAnsiTheme="minorHAnsi" w:cs="Arial"/>
          <w:b/>
        </w:rPr>
      </w:pPr>
    </w:p>
    <w:p w14:paraId="206819B8" w14:textId="77777777" w:rsidR="00542FFC" w:rsidRPr="00542FFC" w:rsidRDefault="00542FFC" w:rsidP="000A7FA2">
      <w:pPr>
        <w:pStyle w:val="Normal1"/>
        <w:widowControl/>
        <w:numPr>
          <w:ilvl w:val="0"/>
          <w:numId w:val="6"/>
        </w:numPr>
        <w:spacing w:after="0"/>
        <w:ind w:left="360"/>
        <w:contextualSpacing/>
        <w:rPr>
          <w:rFonts w:ascii="Arial" w:eastAsia="Arial" w:hAnsi="Arial" w:cs="Arial"/>
        </w:rPr>
      </w:pPr>
      <w:r>
        <w:rPr>
          <w:color w:val="auto"/>
        </w:rPr>
        <w:t>C</w:t>
      </w:r>
      <w:r>
        <w:rPr>
          <w:rFonts w:asciiTheme="majorHAnsi" w:hAnsiTheme="majorHAnsi"/>
          <w:color w:val="auto"/>
        </w:rPr>
        <w:t xml:space="preserve">urrently homeowners in Massachusetts must bring an action to court (pursuant to M.G.L. c. 21E, </w:t>
      </w:r>
      <w:r>
        <w:rPr>
          <w:rFonts w:asciiTheme="majorHAnsi" w:hAnsiTheme="majorHAnsi" w:cs="Times New Roman"/>
          <w:color w:val="auto"/>
        </w:rPr>
        <w:t>§</w:t>
      </w:r>
      <w:r>
        <w:rPr>
          <w:rFonts w:asciiTheme="majorHAnsi" w:hAnsiTheme="majorHAnsi"/>
          <w:color w:val="auto"/>
        </w:rPr>
        <w:t xml:space="preserve"> 4A) and sue the responsible party for damages and restoration funding. </w:t>
      </w:r>
    </w:p>
    <w:p w14:paraId="72092368" w14:textId="76A638C9" w:rsidR="00ED1201" w:rsidRPr="00ED1201" w:rsidRDefault="00FB6278" w:rsidP="00ED1201">
      <w:pPr>
        <w:pStyle w:val="Normal1"/>
        <w:widowControl/>
        <w:numPr>
          <w:ilvl w:val="0"/>
          <w:numId w:val="6"/>
        </w:numPr>
        <w:spacing w:after="0"/>
        <w:ind w:left="360"/>
        <w:contextualSpacing/>
        <w:rPr>
          <w:rFonts w:ascii="Arial" w:eastAsia="Arial" w:hAnsi="Arial" w:cs="Arial"/>
        </w:rPr>
      </w:pPr>
      <w:r w:rsidRPr="00794017">
        <w:rPr>
          <w:rFonts w:asciiTheme="majorHAnsi" w:hAnsiTheme="majorHAnsi"/>
        </w:rPr>
        <w:t xml:space="preserve"> </w:t>
      </w:r>
      <w:r w:rsidR="00AF19FF" w:rsidRPr="00794017">
        <w:rPr>
          <w:rFonts w:asciiTheme="majorHAnsi" w:hAnsiTheme="majorHAnsi"/>
        </w:rPr>
        <w:t xml:space="preserve">We </w:t>
      </w:r>
      <w:r w:rsidRPr="00794017">
        <w:rPr>
          <w:rFonts w:asciiTheme="majorHAnsi" w:hAnsiTheme="majorHAnsi"/>
        </w:rPr>
        <w:t>recommend Massachusetts institute a policy where impacted homeowners could first submit a claim directly to the Department of Revenue (DOR).</w:t>
      </w:r>
    </w:p>
    <w:p w14:paraId="1016CF92" w14:textId="1879D8BB" w:rsidR="00ED1201" w:rsidRPr="002F0C3B" w:rsidRDefault="00ED1201" w:rsidP="00ED1201">
      <w:pPr>
        <w:pStyle w:val="Normal1"/>
        <w:widowControl/>
        <w:numPr>
          <w:ilvl w:val="1"/>
          <w:numId w:val="6"/>
        </w:numPr>
        <w:spacing w:after="0"/>
        <w:contextualSpacing/>
        <w:rPr>
          <w:rFonts w:ascii="Arial" w:eastAsia="Arial" w:hAnsi="Arial" w:cs="Arial"/>
        </w:rPr>
      </w:pPr>
      <w:r>
        <w:rPr>
          <w:rFonts w:asciiTheme="majorHAnsi" w:hAnsiTheme="majorHAnsi"/>
        </w:rPr>
        <w:t xml:space="preserve">Only </w:t>
      </w:r>
      <w:r w:rsidRPr="00794017">
        <w:rPr>
          <w:rFonts w:asciiTheme="majorHAnsi" w:hAnsiTheme="majorHAnsi"/>
        </w:rPr>
        <w:t>if the third party did not receive sufficient compensation would they need to embark on the costly and lengthy process of bringing the PRP to court.</w:t>
      </w:r>
    </w:p>
    <w:p w14:paraId="21E7B252" w14:textId="7FDE8FFC" w:rsidR="000A7FA2" w:rsidRPr="000A7FA2" w:rsidRDefault="00677C79" w:rsidP="000A7FA2">
      <w:pPr>
        <w:pStyle w:val="Normal1"/>
        <w:widowControl/>
        <w:numPr>
          <w:ilvl w:val="0"/>
          <w:numId w:val="6"/>
        </w:numPr>
        <w:spacing w:after="0"/>
        <w:ind w:left="360"/>
        <w:contextualSpacing/>
        <w:rPr>
          <w:rFonts w:ascii="Arial" w:eastAsia="Arial" w:hAnsi="Arial" w:cs="Arial"/>
        </w:rPr>
      </w:pPr>
      <w:r w:rsidRPr="00794017">
        <w:rPr>
          <w:rFonts w:asciiTheme="majorHAnsi" w:hAnsiTheme="majorHAnsi"/>
        </w:rPr>
        <w:t xml:space="preserve">We base this recommendation from the policies of New York and New Jersey. Both states offer a model for a comprehensive reimbursement program, particularly in the case of third party. </w:t>
      </w:r>
    </w:p>
    <w:p w14:paraId="27C343C6" w14:textId="77777777" w:rsidR="000A7FA2" w:rsidRPr="000A7FA2" w:rsidRDefault="00677C79" w:rsidP="00CB55B4">
      <w:pPr>
        <w:pStyle w:val="Normal1"/>
        <w:widowControl/>
        <w:numPr>
          <w:ilvl w:val="1"/>
          <w:numId w:val="6"/>
        </w:numPr>
        <w:spacing w:after="0"/>
        <w:contextualSpacing/>
        <w:rPr>
          <w:rFonts w:ascii="Arial" w:eastAsia="Arial" w:hAnsi="Arial" w:cs="Arial"/>
        </w:rPr>
      </w:pPr>
      <w:r w:rsidRPr="00794017">
        <w:rPr>
          <w:rFonts w:asciiTheme="majorHAnsi" w:hAnsiTheme="majorHAnsi"/>
        </w:rPr>
        <w:t xml:space="preserve">New York law </w:t>
      </w:r>
      <w:r w:rsidR="00036FCB" w:rsidRPr="00794017">
        <w:rPr>
          <w:rFonts w:asciiTheme="majorHAnsi" w:hAnsiTheme="majorHAnsi"/>
        </w:rPr>
        <w:t>states,</w:t>
      </w:r>
      <w:r w:rsidRPr="00794017">
        <w:rPr>
          <w:rFonts w:asciiTheme="majorHAnsi" w:hAnsiTheme="majorHAnsi"/>
        </w:rPr>
        <w:t xml:space="preserve"> “</w:t>
      </w:r>
      <w:proofErr w:type="gramStart"/>
      <w:r w:rsidRPr="00794017">
        <w:rPr>
          <w:rFonts w:asciiTheme="majorHAnsi" w:hAnsiTheme="majorHAnsi"/>
        </w:rPr>
        <w:t>the</w:t>
      </w:r>
      <w:proofErr w:type="gramEnd"/>
      <w:r w:rsidRPr="00794017">
        <w:rPr>
          <w:rFonts w:asciiTheme="majorHAnsi" w:hAnsiTheme="majorHAnsi"/>
        </w:rPr>
        <w:t xml:space="preserve"> fund shall be strictly liable […] for all direct and indirect damages (N.Y. NAV. LAW </w:t>
      </w:r>
      <w:r w:rsidRPr="00794017">
        <w:rPr>
          <w:rFonts w:asciiTheme="majorHAnsi" w:hAnsiTheme="majorHAnsi" w:cs="Times New Roman"/>
        </w:rPr>
        <w:t>§ 181).</w:t>
      </w:r>
      <w:r w:rsidRPr="00794017">
        <w:rPr>
          <w:rFonts w:asciiTheme="majorHAnsi" w:hAnsiTheme="majorHAnsi"/>
        </w:rPr>
        <w:t xml:space="preserve">” This includes “the cost of restoring, repairing, or replacing any real or </w:t>
      </w:r>
      <w:r w:rsidRPr="00794017">
        <w:rPr>
          <w:rFonts w:asciiTheme="majorHAnsi" w:hAnsiTheme="majorHAnsi"/>
        </w:rPr>
        <w:lastRenderedPageBreak/>
        <w:t>personal property damaged (</w:t>
      </w:r>
      <w:r w:rsidRPr="00794017">
        <w:rPr>
          <w:rFonts w:asciiTheme="majorHAnsi" w:hAnsiTheme="majorHAnsi"/>
          <w:u w:val="single"/>
        </w:rPr>
        <w:t>Id.</w:t>
      </w:r>
      <w:r w:rsidRPr="00794017">
        <w:rPr>
          <w:rFonts w:asciiTheme="majorHAnsi" w:hAnsiTheme="majorHAnsi"/>
        </w:rPr>
        <w:t>).” Also, the fund covers “any reduction in value of such property (</w:t>
      </w:r>
      <w:r w:rsidRPr="00794017">
        <w:rPr>
          <w:rFonts w:asciiTheme="majorHAnsi" w:hAnsiTheme="majorHAnsi"/>
          <w:u w:val="single"/>
        </w:rPr>
        <w:t>Id.</w:t>
      </w:r>
      <w:r w:rsidRPr="00794017">
        <w:rPr>
          <w:rFonts w:asciiTheme="majorHAnsi" w:hAnsiTheme="majorHAnsi"/>
        </w:rPr>
        <w:t>).”</w:t>
      </w:r>
    </w:p>
    <w:p w14:paraId="26860E9A" w14:textId="090BC060" w:rsidR="00FB6278" w:rsidRPr="00542FFC" w:rsidRDefault="00677C79" w:rsidP="00CB55B4">
      <w:pPr>
        <w:pStyle w:val="Normal1"/>
        <w:widowControl/>
        <w:numPr>
          <w:ilvl w:val="1"/>
          <w:numId w:val="6"/>
        </w:numPr>
        <w:spacing w:after="0"/>
        <w:contextualSpacing/>
        <w:rPr>
          <w:rFonts w:ascii="Arial" w:eastAsia="Arial" w:hAnsi="Arial" w:cs="Arial"/>
        </w:rPr>
      </w:pPr>
      <w:r w:rsidRPr="00794017">
        <w:rPr>
          <w:rFonts w:asciiTheme="majorHAnsi" w:hAnsiTheme="majorHAnsi"/>
        </w:rPr>
        <w:t>New Jersey law states “site restoration costs are limited to the actual area of the remediation of the leaking underground storage tank. Eligible costs for certain site restoration categories are capped at $5,000 each (</w:t>
      </w:r>
      <w:r w:rsidRPr="00794017">
        <w:rPr>
          <w:rFonts w:asciiTheme="majorHAnsi" w:eastAsia="Times New Roman" w:hAnsiTheme="majorHAnsi" w:cs="Times New Roman"/>
          <w:szCs w:val="24"/>
        </w:rPr>
        <w:t>Instructions for the petroleum underground storage tank remediation, upgrade, and closure fund, 2011).</w:t>
      </w:r>
      <w:r w:rsidRPr="00794017">
        <w:rPr>
          <w:rFonts w:asciiTheme="majorHAnsi" w:hAnsiTheme="majorHAnsi"/>
        </w:rPr>
        <w:t>” These categories include, but are not limited to landscaping, hardscaping decking costs, and pool costs (</w:t>
      </w:r>
      <w:r w:rsidRPr="00794017">
        <w:rPr>
          <w:rFonts w:asciiTheme="majorHAnsi" w:hAnsiTheme="majorHAnsi"/>
          <w:u w:val="single"/>
        </w:rPr>
        <w:t>Id.</w:t>
      </w:r>
      <w:r w:rsidRPr="00794017">
        <w:rPr>
          <w:rFonts w:asciiTheme="majorHAnsi" w:hAnsiTheme="majorHAnsi"/>
        </w:rPr>
        <w:t>).</w:t>
      </w:r>
    </w:p>
    <w:p w14:paraId="4B94E20F" w14:textId="77777777" w:rsidR="00542FFC" w:rsidRDefault="00542FFC" w:rsidP="00542FFC">
      <w:pPr>
        <w:pStyle w:val="Normal1"/>
        <w:widowControl/>
        <w:spacing w:after="0"/>
        <w:ind w:left="360"/>
        <w:contextualSpacing/>
        <w:rPr>
          <w:rFonts w:ascii="Arial" w:eastAsia="Arial" w:hAnsi="Arial" w:cs="Arial"/>
        </w:rPr>
      </w:pPr>
    </w:p>
    <w:p w14:paraId="343FC51B" w14:textId="77777777" w:rsidR="00520093" w:rsidRDefault="00520093" w:rsidP="00520093">
      <w:pPr>
        <w:pStyle w:val="Normal1"/>
        <w:widowControl/>
        <w:spacing w:after="0"/>
        <w:contextualSpacing/>
        <w:rPr>
          <w:rFonts w:ascii="Arial" w:eastAsia="Arial" w:hAnsi="Arial" w:cs="Arial"/>
        </w:rPr>
      </w:pPr>
    </w:p>
    <w:p w14:paraId="067BB455" w14:textId="77777777" w:rsidR="00030102" w:rsidRDefault="007B31D6">
      <w:pPr>
        <w:pStyle w:val="Normal1"/>
        <w:widowControl/>
        <w:numPr>
          <w:ilvl w:val="0"/>
          <w:numId w:val="3"/>
        </w:numPr>
        <w:spacing w:after="0"/>
        <w:ind w:hanging="360"/>
        <w:contextualSpacing/>
        <w:rPr>
          <w:rFonts w:asciiTheme="minorHAnsi" w:eastAsia="Arial" w:hAnsiTheme="minorHAnsi" w:cs="Arial"/>
          <w:b/>
        </w:rPr>
      </w:pPr>
      <w:r w:rsidRPr="00C21448">
        <w:rPr>
          <w:rFonts w:asciiTheme="minorHAnsi" w:eastAsia="Arial" w:hAnsiTheme="minorHAnsi" w:cs="Arial"/>
          <w:b/>
        </w:rPr>
        <w:t xml:space="preserve">The Massachusetts Department of Environmental Protection needs a series of requirements issued to the LSP for necessary public outreach after an UST spill occurs. </w:t>
      </w:r>
    </w:p>
    <w:p w14:paraId="35ECE50F" w14:textId="77777777" w:rsidR="00FB1642" w:rsidRDefault="00FB1642" w:rsidP="00FB1642">
      <w:pPr>
        <w:pStyle w:val="Normal1"/>
        <w:widowControl/>
        <w:spacing w:after="0"/>
        <w:ind w:left="720"/>
        <w:contextualSpacing/>
        <w:rPr>
          <w:rFonts w:asciiTheme="minorHAnsi" w:eastAsia="Arial" w:hAnsiTheme="minorHAnsi" w:cs="Arial"/>
          <w:b/>
        </w:rPr>
      </w:pPr>
    </w:p>
    <w:p w14:paraId="5C1C4D22" w14:textId="77777777" w:rsidR="00FB1642" w:rsidRPr="00FB1642" w:rsidRDefault="00C21448" w:rsidP="00FB1642">
      <w:pPr>
        <w:pStyle w:val="ListParagraph"/>
        <w:numPr>
          <w:ilvl w:val="0"/>
          <w:numId w:val="7"/>
        </w:numPr>
        <w:ind w:left="360"/>
        <w:rPr>
          <w:color w:val="auto"/>
        </w:rPr>
      </w:pPr>
      <w:r>
        <w:t>W</w:t>
      </w:r>
      <w:r w:rsidRPr="00EC70BF">
        <w:t>e recommend both short term and long-term community outreach.</w:t>
      </w:r>
    </w:p>
    <w:p w14:paraId="08FDE439" w14:textId="77777777" w:rsidR="00542FFC" w:rsidRPr="00542FFC" w:rsidRDefault="00C21448" w:rsidP="00FB1642">
      <w:pPr>
        <w:pStyle w:val="ListParagraph"/>
        <w:numPr>
          <w:ilvl w:val="0"/>
          <w:numId w:val="7"/>
        </w:numPr>
        <w:ind w:left="360"/>
        <w:rPr>
          <w:color w:val="auto"/>
        </w:rPr>
      </w:pPr>
      <w:r w:rsidRPr="00EC70BF">
        <w:t xml:space="preserve"> As a short term solution, we recommend a contacts page on the MADEP websit</w:t>
      </w:r>
      <w:r w:rsidR="00FB1642">
        <w:t>e that would allow tank owners, licensed site professionals (</w:t>
      </w:r>
      <w:r w:rsidRPr="00EC70BF">
        <w:t>LSPs</w:t>
      </w:r>
      <w:r w:rsidR="00FB1642">
        <w:t>)</w:t>
      </w:r>
      <w:r w:rsidRPr="00EC70BF">
        <w:t>, and affected third parties to quickly locate the correct contact to answer their questions.</w:t>
      </w:r>
      <w:r w:rsidRPr="00C21448">
        <w:t xml:space="preserve"> </w:t>
      </w:r>
    </w:p>
    <w:p w14:paraId="20C5A71A" w14:textId="77777777" w:rsidR="00542FFC" w:rsidRPr="00542FFC" w:rsidRDefault="00C21448" w:rsidP="00542FFC">
      <w:pPr>
        <w:pStyle w:val="ListParagraph"/>
        <w:numPr>
          <w:ilvl w:val="1"/>
          <w:numId w:val="7"/>
        </w:numPr>
        <w:rPr>
          <w:color w:val="auto"/>
        </w:rPr>
      </w:pPr>
      <w:r w:rsidRPr="00EC70BF">
        <w:t>The webpage would allow affected third parties to educate themselves on what steps to take without the use of a personal environmental consultant, or environmental lawyer.</w:t>
      </w:r>
      <w:r w:rsidR="00F26B6C">
        <w:t xml:space="preserve"> </w:t>
      </w:r>
    </w:p>
    <w:p w14:paraId="274B2605" w14:textId="77777777" w:rsidR="00542FFC" w:rsidRPr="00542FFC" w:rsidRDefault="004A441E" w:rsidP="00FB1642">
      <w:pPr>
        <w:pStyle w:val="ListParagraph"/>
        <w:numPr>
          <w:ilvl w:val="0"/>
          <w:numId w:val="7"/>
        </w:numPr>
        <w:ind w:left="360"/>
        <w:rPr>
          <w:color w:val="auto"/>
        </w:rPr>
      </w:pPr>
      <w:r>
        <w:t>In the long term, we recommend modeling the public outreach program of New Jersey, as they have the most comprehensive policy regarding public outreach of the states researched.</w:t>
      </w:r>
    </w:p>
    <w:p w14:paraId="5F9EEF35" w14:textId="0AACF84A" w:rsidR="00542FFC" w:rsidRPr="00542FFC" w:rsidRDefault="00F26B6C" w:rsidP="00542FFC">
      <w:pPr>
        <w:pStyle w:val="ListParagraph"/>
        <w:numPr>
          <w:ilvl w:val="1"/>
          <w:numId w:val="7"/>
        </w:numPr>
        <w:rPr>
          <w:color w:val="auto"/>
        </w:rPr>
      </w:pPr>
      <w:r w:rsidRPr="00EC70BF">
        <w:t xml:space="preserve"> The New Jersey Department of Environmental Protection (NJDEP) sets a detailed schedule</w:t>
      </w:r>
      <w:r w:rsidR="002617D9">
        <w:t xml:space="preserve"> </w:t>
      </w:r>
      <w:r w:rsidRPr="00EC70BF">
        <w:t xml:space="preserve">to promote public outreach by the LSP. Incorporating New Jersey’s outreach practices into Massachusetts would allow for families to have a direct contact who could answer questions on the tests results and general cleanup process. </w:t>
      </w:r>
    </w:p>
    <w:p w14:paraId="3BB8E09C" w14:textId="6F4BAAC1" w:rsidR="00C21448" w:rsidRPr="00542FFC" w:rsidRDefault="00542FFC" w:rsidP="00542FFC">
      <w:pPr>
        <w:pStyle w:val="ListParagraph"/>
        <w:numPr>
          <w:ilvl w:val="1"/>
          <w:numId w:val="7"/>
        </w:numPr>
        <w:rPr>
          <w:color w:val="auto"/>
        </w:rPr>
      </w:pPr>
      <w:r>
        <w:t>L</w:t>
      </w:r>
      <w:r w:rsidR="00F26B6C" w:rsidRPr="00EC70BF">
        <w:t>ittle to no extra manpower would be expended by the MADEP since the responsible party and contracted LSP would be responsible for the public outreach process.</w:t>
      </w:r>
    </w:p>
    <w:p w14:paraId="509A53FD" w14:textId="77777777" w:rsidR="00542FFC" w:rsidRPr="00FB1642" w:rsidRDefault="00542FFC" w:rsidP="00542FFC">
      <w:pPr>
        <w:pStyle w:val="ListParagraph"/>
        <w:ind w:left="1440"/>
        <w:rPr>
          <w:color w:val="auto"/>
        </w:rPr>
      </w:pPr>
    </w:p>
    <w:p w14:paraId="52C1CB23" w14:textId="43F80F76" w:rsidR="00030102" w:rsidRDefault="007B31D6">
      <w:pPr>
        <w:pStyle w:val="Normal1"/>
        <w:widowControl/>
        <w:numPr>
          <w:ilvl w:val="0"/>
          <w:numId w:val="3"/>
        </w:numPr>
        <w:spacing w:after="0"/>
        <w:ind w:hanging="360"/>
        <w:contextualSpacing/>
        <w:rPr>
          <w:rFonts w:asciiTheme="minorHAnsi" w:eastAsia="Arial" w:hAnsiTheme="minorHAnsi" w:cs="Arial"/>
          <w:b/>
        </w:rPr>
      </w:pPr>
      <w:r w:rsidRPr="0052637F">
        <w:rPr>
          <w:rFonts w:asciiTheme="minorHAnsi" w:eastAsia="Arial" w:hAnsiTheme="minorHAnsi" w:cs="Arial"/>
          <w:b/>
        </w:rPr>
        <w:t xml:space="preserve"> A legislative aid</w:t>
      </w:r>
      <w:r w:rsidR="005F3DBA" w:rsidRPr="0052637F">
        <w:rPr>
          <w:rFonts w:asciiTheme="minorHAnsi" w:eastAsia="Arial" w:hAnsiTheme="minorHAnsi" w:cs="Arial"/>
          <w:b/>
        </w:rPr>
        <w:t>e</w:t>
      </w:r>
      <w:r w:rsidRPr="0052637F">
        <w:rPr>
          <w:rFonts w:asciiTheme="minorHAnsi" w:eastAsia="Arial" w:hAnsiTheme="minorHAnsi" w:cs="Arial"/>
          <w:b/>
        </w:rPr>
        <w:t xml:space="preserve"> should continue research regarding MADEP involvement in UST spill cleanups. </w:t>
      </w:r>
    </w:p>
    <w:p w14:paraId="097C69B9" w14:textId="77777777" w:rsidR="00542FFC" w:rsidRDefault="00542FFC" w:rsidP="00542FFC">
      <w:pPr>
        <w:pStyle w:val="Normal1"/>
        <w:widowControl/>
        <w:spacing w:after="0"/>
        <w:ind w:left="720"/>
        <w:contextualSpacing/>
        <w:rPr>
          <w:rFonts w:asciiTheme="minorHAnsi" w:eastAsia="Arial" w:hAnsiTheme="minorHAnsi" w:cs="Arial"/>
          <w:b/>
        </w:rPr>
      </w:pPr>
    </w:p>
    <w:p w14:paraId="38C71A4E" w14:textId="77777777" w:rsidR="00542FFC" w:rsidRDefault="00AC3AF1" w:rsidP="00542FFC">
      <w:pPr>
        <w:pStyle w:val="Normal1"/>
        <w:widowControl/>
        <w:numPr>
          <w:ilvl w:val="0"/>
          <w:numId w:val="8"/>
        </w:numPr>
        <w:spacing w:after="0"/>
        <w:ind w:left="360"/>
        <w:contextualSpacing/>
      </w:pPr>
      <w:r w:rsidRPr="00EC70BF">
        <w:t xml:space="preserve">There is a need for increased involvement of the MADEP in severe oil spills where human health or natural resources are at risk. </w:t>
      </w:r>
    </w:p>
    <w:p w14:paraId="117A8AF4" w14:textId="77777777" w:rsidR="00542FFC" w:rsidRDefault="00AC3AF1" w:rsidP="00542FFC">
      <w:pPr>
        <w:pStyle w:val="Normal1"/>
        <w:widowControl/>
        <w:numPr>
          <w:ilvl w:val="0"/>
          <w:numId w:val="8"/>
        </w:numPr>
        <w:spacing w:after="0"/>
        <w:ind w:left="360"/>
        <w:contextualSpacing/>
      </w:pPr>
      <w:r w:rsidRPr="00EC70BF">
        <w:t>The most prevalent issue that the MADEP faces based on interviews with four employees is the lack of staffing</w:t>
      </w:r>
      <w:r>
        <w:t xml:space="preserve">.  </w:t>
      </w:r>
    </w:p>
    <w:p w14:paraId="720DAB3E" w14:textId="77777777" w:rsidR="00542FFC" w:rsidRDefault="00AC3AF1" w:rsidP="00542FFC">
      <w:pPr>
        <w:pStyle w:val="Normal1"/>
        <w:widowControl/>
        <w:numPr>
          <w:ilvl w:val="0"/>
          <w:numId w:val="8"/>
        </w:numPr>
        <w:spacing w:after="0"/>
        <w:ind w:left="360"/>
        <w:contextualSpacing/>
      </w:pPr>
      <w:r w:rsidRPr="00EC70BF">
        <w:t>States with higher numbers of staff, such as New Jersey and Florida, are able to further regulate the cleanup process and aid third parties</w:t>
      </w:r>
      <w:r>
        <w:t xml:space="preserve">. </w:t>
      </w:r>
    </w:p>
    <w:p w14:paraId="776EF663" w14:textId="77777777" w:rsidR="00542FFC" w:rsidRDefault="00AC3AF1" w:rsidP="00542FFC">
      <w:pPr>
        <w:pStyle w:val="Normal1"/>
        <w:widowControl/>
        <w:numPr>
          <w:ilvl w:val="0"/>
          <w:numId w:val="8"/>
        </w:numPr>
        <w:spacing w:after="0"/>
        <w:ind w:left="360"/>
        <w:contextualSpacing/>
      </w:pPr>
      <w:r>
        <w:t>A</w:t>
      </w:r>
      <w:r w:rsidRPr="00EC70BF">
        <w:t xml:space="preserve"> case can be made for increased staffing, or an alternative solution can be sought.</w:t>
      </w:r>
    </w:p>
    <w:p w14:paraId="4E8F3993" w14:textId="76EF2CE5" w:rsidR="0052637F" w:rsidRDefault="00AC3AF1" w:rsidP="00542FFC">
      <w:pPr>
        <w:pStyle w:val="Normal1"/>
        <w:widowControl/>
        <w:numPr>
          <w:ilvl w:val="0"/>
          <w:numId w:val="8"/>
        </w:numPr>
        <w:spacing w:after="0"/>
        <w:ind w:left="360"/>
        <w:contextualSpacing/>
      </w:pPr>
      <w:r w:rsidRPr="00EC70BF">
        <w:t xml:space="preserve"> Further research can also lead to increased involvement in particular cases, such as drinking water contamination</w:t>
      </w:r>
    </w:p>
    <w:p w14:paraId="24DB96C6" w14:textId="7374B48F" w:rsidR="00030102" w:rsidRDefault="00030102">
      <w:pPr>
        <w:pStyle w:val="Normal1"/>
        <w:widowControl/>
        <w:spacing w:after="0"/>
      </w:pPr>
    </w:p>
    <w:sectPr w:rsidR="00030102" w:rsidSect="005E5224">
      <w:footerReference w:type="default" r:id="rId9"/>
      <w:pgSz w:w="12240" w:h="15840"/>
      <w:pgMar w:top="1530" w:right="1080" w:bottom="1440" w:left="108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BE2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5944E" w14:textId="77777777" w:rsidR="00ED1201" w:rsidRDefault="00ED1201">
      <w:pPr>
        <w:spacing w:after="0" w:line="240" w:lineRule="auto"/>
      </w:pPr>
      <w:r>
        <w:separator/>
      </w:r>
    </w:p>
  </w:endnote>
  <w:endnote w:type="continuationSeparator" w:id="0">
    <w:p w14:paraId="23506BB6" w14:textId="77777777" w:rsidR="00ED1201" w:rsidRDefault="00ED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82A1" w14:textId="77777777" w:rsidR="00ED1201" w:rsidRDefault="00ED1201">
    <w:pPr>
      <w:pStyle w:val="Normal1"/>
      <w:widowControl/>
      <w:spacing w:after="0"/>
      <w:rPr>
        <w:rFonts w:ascii="Arial" w:eastAsia="Arial" w:hAnsi="Arial" w:cs="Arial"/>
        <w:sz w:val="16"/>
        <w:szCs w:val="16"/>
      </w:rPr>
    </w:pPr>
  </w:p>
  <w:p w14:paraId="39D2DF47" w14:textId="77777777" w:rsidR="00ED1201" w:rsidRDefault="00ED1201">
    <w:pPr>
      <w:pStyle w:val="Normal1"/>
      <w:widowControl/>
      <w:spacing w:after="0"/>
    </w:pPr>
    <w:r>
      <w:rPr>
        <w:rFonts w:ascii="Arial" w:eastAsia="Arial" w:hAnsi="Arial" w:cs="Arial"/>
        <w:sz w:val="16"/>
        <w:szCs w:val="16"/>
      </w:rPr>
      <w:t>For more information, please contact the Office of Senator James Eldridge, or visit WEBSITE</w:t>
    </w:r>
  </w:p>
  <w:p w14:paraId="69CC8187" w14:textId="77777777" w:rsidR="00ED1201" w:rsidRDefault="00ED1201">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3A10" w14:textId="77777777" w:rsidR="00ED1201" w:rsidRDefault="00ED1201">
      <w:pPr>
        <w:spacing w:after="0" w:line="240" w:lineRule="auto"/>
      </w:pPr>
      <w:r>
        <w:separator/>
      </w:r>
    </w:p>
  </w:footnote>
  <w:footnote w:type="continuationSeparator" w:id="0">
    <w:p w14:paraId="390C4142" w14:textId="77777777" w:rsidR="00ED1201" w:rsidRDefault="00ED12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70E"/>
    <w:multiLevelType w:val="multilevel"/>
    <w:tmpl w:val="B2887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5C08DA"/>
    <w:multiLevelType w:val="hybridMultilevel"/>
    <w:tmpl w:val="D7E03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872BE"/>
    <w:multiLevelType w:val="multilevel"/>
    <w:tmpl w:val="52366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B67CA0"/>
    <w:multiLevelType w:val="multilevel"/>
    <w:tmpl w:val="ABD82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9A2303C"/>
    <w:multiLevelType w:val="multilevel"/>
    <w:tmpl w:val="456A7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A51973"/>
    <w:multiLevelType w:val="multilevel"/>
    <w:tmpl w:val="1C82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556915"/>
    <w:multiLevelType w:val="hybridMultilevel"/>
    <w:tmpl w:val="2B9A2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E2185"/>
    <w:multiLevelType w:val="hybridMultilevel"/>
    <w:tmpl w:val="52BEA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02"/>
    <w:rsid w:val="00030102"/>
    <w:rsid w:val="00036FCB"/>
    <w:rsid w:val="000A7FA2"/>
    <w:rsid w:val="00217A53"/>
    <w:rsid w:val="002617D9"/>
    <w:rsid w:val="00280604"/>
    <w:rsid w:val="00293713"/>
    <w:rsid w:val="002F0C3B"/>
    <w:rsid w:val="002F5D41"/>
    <w:rsid w:val="00386A33"/>
    <w:rsid w:val="003A295A"/>
    <w:rsid w:val="0040394D"/>
    <w:rsid w:val="00471711"/>
    <w:rsid w:val="00484481"/>
    <w:rsid w:val="004A441E"/>
    <w:rsid w:val="00520093"/>
    <w:rsid w:val="0052637F"/>
    <w:rsid w:val="00535122"/>
    <w:rsid w:val="00541EEC"/>
    <w:rsid w:val="00542FFC"/>
    <w:rsid w:val="005757DA"/>
    <w:rsid w:val="005E5224"/>
    <w:rsid w:val="005F3DBA"/>
    <w:rsid w:val="006263CC"/>
    <w:rsid w:val="00677C79"/>
    <w:rsid w:val="006D5495"/>
    <w:rsid w:val="00794017"/>
    <w:rsid w:val="007B31D6"/>
    <w:rsid w:val="007C53C3"/>
    <w:rsid w:val="00815E21"/>
    <w:rsid w:val="00873F38"/>
    <w:rsid w:val="008938B0"/>
    <w:rsid w:val="0095077D"/>
    <w:rsid w:val="009A270F"/>
    <w:rsid w:val="00A27C3A"/>
    <w:rsid w:val="00A641F7"/>
    <w:rsid w:val="00AC3AF1"/>
    <w:rsid w:val="00AC7723"/>
    <w:rsid w:val="00AF19FF"/>
    <w:rsid w:val="00B53EB9"/>
    <w:rsid w:val="00B75C19"/>
    <w:rsid w:val="00C04CEE"/>
    <w:rsid w:val="00C21448"/>
    <w:rsid w:val="00C376D9"/>
    <w:rsid w:val="00CB55B4"/>
    <w:rsid w:val="00CD0AA8"/>
    <w:rsid w:val="00D0137C"/>
    <w:rsid w:val="00D50F6C"/>
    <w:rsid w:val="00D924D3"/>
    <w:rsid w:val="00DA1171"/>
    <w:rsid w:val="00E70759"/>
    <w:rsid w:val="00EB36AF"/>
    <w:rsid w:val="00EC0545"/>
    <w:rsid w:val="00ED1201"/>
    <w:rsid w:val="00F164F1"/>
    <w:rsid w:val="00F26B6C"/>
    <w:rsid w:val="00F67093"/>
    <w:rsid w:val="00FB1642"/>
    <w:rsid w:val="00FB6278"/>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4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spacing w:before="480" w:after="0"/>
      <w:outlineLvl w:val="0"/>
    </w:pPr>
    <w:rPr>
      <w:rFonts w:ascii="Cambria" w:eastAsia="Cambria" w:hAnsi="Cambria" w:cs="Cambria"/>
      <w:b/>
      <w:sz w:val="28"/>
      <w:szCs w:val="28"/>
    </w:rPr>
  </w:style>
  <w:style w:type="paragraph" w:styleId="Heading2">
    <w:name w:val="heading 2"/>
    <w:basedOn w:val="Normal1"/>
    <w:next w:val="Normal1"/>
    <w:pPr>
      <w:spacing w:before="200" w:after="0"/>
      <w:outlineLvl w:val="1"/>
    </w:pPr>
    <w:rPr>
      <w:rFonts w:ascii="Cambria" w:eastAsia="Cambria" w:hAnsi="Cambria" w:cs="Cambria"/>
      <w:b/>
      <w:sz w:val="26"/>
      <w:szCs w:val="26"/>
    </w:rPr>
  </w:style>
  <w:style w:type="paragraph" w:styleId="Heading3">
    <w:name w:val="heading 3"/>
    <w:basedOn w:val="Normal1"/>
    <w:next w:val="Normal1"/>
    <w:pPr>
      <w:spacing w:before="200" w:after="0" w:line="271" w:lineRule="auto"/>
      <w:outlineLvl w:val="2"/>
    </w:pPr>
    <w:rPr>
      <w:rFonts w:ascii="Cambria" w:eastAsia="Cambria" w:hAnsi="Cambria" w:cs="Cambria"/>
      <w:b/>
    </w:rPr>
  </w:style>
  <w:style w:type="paragraph" w:styleId="Heading4">
    <w:name w:val="heading 4"/>
    <w:basedOn w:val="Normal1"/>
    <w:next w:val="Normal1"/>
    <w:pPr>
      <w:spacing w:before="200" w:after="0"/>
      <w:outlineLvl w:val="3"/>
    </w:pPr>
    <w:rPr>
      <w:rFonts w:ascii="Cambria" w:eastAsia="Cambria" w:hAnsi="Cambria" w:cs="Cambria"/>
      <w:b/>
      <w:i/>
    </w:rPr>
  </w:style>
  <w:style w:type="paragraph" w:styleId="Heading5">
    <w:name w:val="heading 5"/>
    <w:basedOn w:val="Normal1"/>
    <w:next w:val="Normal1"/>
    <w:pPr>
      <w:spacing w:before="200" w:after="0"/>
      <w:outlineLvl w:val="4"/>
    </w:pPr>
    <w:rPr>
      <w:rFonts w:ascii="Cambria" w:eastAsia="Cambria" w:hAnsi="Cambria" w:cs="Cambria"/>
      <w:b/>
      <w:color w:val="7F7F7F"/>
    </w:rPr>
  </w:style>
  <w:style w:type="paragraph" w:styleId="Heading6">
    <w:name w:val="heading 6"/>
    <w:basedOn w:val="Normal1"/>
    <w:next w:val="Normal1"/>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line="240" w:lineRule="auto"/>
    </w:pPr>
    <w:rPr>
      <w:rFonts w:ascii="Cambria" w:eastAsia="Cambria" w:hAnsi="Cambria" w:cs="Cambria"/>
      <w:color w:val="808080"/>
      <w:sz w:val="56"/>
      <w:szCs w:val="56"/>
    </w:rPr>
  </w:style>
  <w:style w:type="paragraph" w:styleId="Subtitle">
    <w:name w:val="Subtitle"/>
    <w:basedOn w:val="Normal1"/>
    <w:next w:val="Normal1"/>
    <w:pPr>
      <w:spacing w:after="600"/>
    </w:pPr>
    <w:rPr>
      <w:rFonts w:ascii="Cambria" w:eastAsia="Cambria" w:hAnsi="Cambria" w:cs="Cambria"/>
      <w:i/>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1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F1"/>
  </w:style>
  <w:style w:type="paragraph" w:styleId="Footer">
    <w:name w:val="footer"/>
    <w:basedOn w:val="Normal"/>
    <w:link w:val="FooterChar"/>
    <w:uiPriority w:val="99"/>
    <w:unhideWhenUsed/>
    <w:rsid w:val="00F1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F1"/>
  </w:style>
  <w:style w:type="character" w:styleId="CommentReference">
    <w:name w:val="annotation reference"/>
    <w:basedOn w:val="DefaultParagraphFont"/>
    <w:uiPriority w:val="99"/>
    <w:semiHidden/>
    <w:unhideWhenUsed/>
    <w:rsid w:val="00F164F1"/>
    <w:rPr>
      <w:sz w:val="16"/>
      <w:szCs w:val="16"/>
    </w:rPr>
  </w:style>
  <w:style w:type="paragraph" w:styleId="CommentText">
    <w:name w:val="annotation text"/>
    <w:basedOn w:val="Normal"/>
    <w:link w:val="CommentTextChar"/>
    <w:uiPriority w:val="99"/>
    <w:semiHidden/>
    <w:unhideWhenUsed/>
    <w:rsid w:val="00F164F1"/>
    <w:pPr>
      <w:spacing w:line="240" w:lineRule="auto"/>
    </w:pPr>
    <w:rPr>
      <w:sz w:val="20"/>
      <w:szCs w:val="20"/>
    </w:rPr>
  </w:style>
  <w:style w:type="character" w:customStyle="1" w:styleId="CommentTextChar">
    <w:name w:val="Comment Text Char"/>
    <w:basedOn w:val="DefaultParagraphFont"/>
    <w:link w:val="CommentText"/>
    <w:uiPriority w:val="99"/>
    <w:semiHidden/>
    <w:rsid w:val="00F164F1"/>
    <w:rPr>
      <w:sz w:val="20"/>
      <w:szCs w:val="20"/>
    </w:rPr>
  </w:style>
  <w:style w:type="paragraph" w:styleId="CommentSubject">
    <w:name w:val="annotation subject"/>
    <w:basedOn w:val="CommentText"/>
    <w:next w:val="CommentText"/>
    <w:link w:val="CommentSubjectChar"/>
    <w:uiPriority w:val="99"/>
    <w:semiHidden/>
    <w:unhideWhenUsed/>
    <w:rsid w:val="00F164F1"/>
    <w:rPr>
      <w:b/>
      <w:bCs/>
    </w:rPr>
  </w:style>
  <w:style w:type="character" w:customStyle="1" w:styleId="CommentSubjectChar">
    <w:name w:val="Comment Subject Char"/>
    <w:basedOn w:val="CommentTextChar"/>
    <w:link w:val="CommentSubject"/>
    <w:uiPriority w:val="99"/>
    <w:semiHidden/>
    <w:rsid w:val="00F164F1"/>
    <w:rPr>
      <w:b/>
      <w:bCs/>
      <w:sz w:val="20"/>
      <w:szCs w:val="20"/>
    </w:rPr>
  </w:style>
  <w:style w:type="paragraph" w:styleId="BalloonText">
    <w:name w:val="Balloon Text"/>
    <w:basedOn w:val="Normal"/>
    <w:link w:val="BalloonTextChar"/>
    <w:uiPriority w:val="99"/>
    <w:semiHidden/>
    <w:unhideWhenUsed/>
    <w:rsid w:val="00F1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F1"/>
    <w:rPr>
      <w:rFonts w:ascii="Tahoma" w:hAnsi="Tahoma" w:cs="Tahoma"/>
      <w:sz w:val="16"/>
      <w:szCs w:val="16"/>
    </w:rPr>
  </w:style>
  <w:style w:type="character" w:customStyle="1" w:styleId="Heading1Char">
    <w:name w:val="Heading 1 Char"/>
    <w:basedOn w:val="DefaultParagraphFont"/>
    <w:link w:val="Heading1"/>
    <w:rsid w:val="006D5495"/>
    <w:rPr>
      <w:rFonts w:ascii="Cambria" w:eastAsia="Cambria" w:hAnsi="Cambria" w:cs="Cambria"/>
      <w:b/>
      <w:sz w:val="28"/>
      <w:szCs w:val="28"/>
    </w:rPr>
  </w:style>
  <w:style w:type="paragraph" w:styleId="Caption">
    <w:name w:val="caption"/>
    <w:basedOn w:val="Normal"/>
    <w:next w:val="Normal"/>
    <w:unhideWhenUsed/>
    <w:qFormat/>
    <w:rsid w:val="006263CC"/>
    <w:pPr>
      <w:widowControl/>
      <w:spacing w:line="240" w:lineRule="auto"/>
    </w:pPr>
    <w:rPr>
      <w:rFonts w:ascii="Times New Roman" w:eastAsia="Arial" w:hAnsi="Times New Roman" w:cs="Arial"/>
      <w:b/>
      <w:bCs/>
      <w:color w:val="4F81BD" w:themeColor="accent1"/>
      <w:sz w:val="18"/>
      <w:szCs w:val="18"/>
    </w:rPr>
  </w:style>
  <w:style w:type="paragraph" w:styleId="ListParagraph">
    <w:name w:val="List Paragraph"/>
    <w:basedOn w:val="Normal"/>
    <w:uiPriority w:val="34"/>
    <w:qFormat/>
    <w:rsid w:val="00FB1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spacing w:before="480" w:after="0"/>
      <w:outlineLvl w:val="0"/>
    </w:pPr>
    <w:rPr>
      <w:rFonts w:ascii="Cambria" w:eastAsia="Cambria" w:hAnsi="Cambria" w:cs="Cambria"/>
      <w:b/>
      <w:sz w:val="28"/>
      <w:szCs w:val="28"/>
    </w:rPr>
  </w:style>
  <w:style w:type="paragraph" w:styleId="Heading2">
    <w:name w:val="heading 2"/>
    <w:basedOn w:val="Normal1"/>
    <w:next w:val="Normal1"/>
    <w:pPr>
      <w:spacing w:before="200" w:after="0"/>
      <w:outlineLvl w:val="1"/>
    </w:pPr>
    <w:rPr>
      <w:rFonts w:ascii="Cambria" w:eastAsia="Cambria" w:hAnsi="Cambria" w:cs="Cambria"/>
      <w:b/>
      <w:sz w:val="26"/>
      <w:szCs w:val="26"/>
    </w:rPr>
  </w:style>
  <w:style w:type="paragraph" w:styleId="Heading3">
    <w:name w:val="heading 3"/>
    <w:basedOn w:val="Normal1"/>
    <w:next w:val="Normal1"/>
    <w:pPr>
      <w:spacing w:before="200" w:after="0" w:line="271" w:lineRule="auto"/>
      <w:outlineLvl w:val="2"/>
    </w:pPr>
    <w:rPr>
      <w:rFonts w:ascii="Cambria" w:eastAsia="Cambria" w:hAnsi="Cambria" w:cs="Cambria"/>
      <w:b/>
    </w:rPr>
  </w:style>
  <w:style w:type="paragraph" w:styleId="Heading4">
    <w:name w:val="heading 4"/>
    <w:basedOn w:val="Normal1"/>
    <w:next w:val="Normal1"/>
    <w:pPr>
      <w:spacing w:before="200" w:after="0"/>
      <w:outlineLvl w:val="3"/>
    </w:pPr>
    <w:rPr>
      <w:rFonts w:ascii="Cambria" w:eastAsia="Cambria" w:hAnsi="Cambria" w:cs="Cambria"/>
      <w:b/>
      <w:i/>
    </w:rPr>
  </w:style>
  <w:style w:type="paragraph" w:styleId="Heading5">
    <w:name w:val="heading 5"/>
    <w:basedOn w:val="Normal1"/>
    <w:next w:val="Normal1"/>
    <w:pPr>
      <w:spacing w:before="200" w:after="0"/>
      <w:outlineLvl w:val="4"/>
    </w:pPr>
    <w:rPr>
      <w:rFonts w:ascii="Cambria" w:eastAsia="Cambria" w:hAnsi="Cambria" w:cs="Cambria"/>
      <w:b/>
      <w:color w:val="7F7F7F"/>
    </w:rPr>
  </w:style>
  <w:style w:type="paragraph" w:styleId="Heading6">
    <w:name w:val="heading 6"/>
    <w:basedOn w:val="Normal1"/>
    <w:next w:val="Normal1"/>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line="240" w:lineRule="auto"/>
    </w:pPr>
    <w:rPr>
      <w:rFonts w:ascii="Cambria" w:eastAsia="Cambria" w:hAnsi="Cambria" w:cs="Cambria"/>
      <w:color w:val="808080"/>
      <w:sz w:val="56"/>
      <w:szCs w:val="56"/>
    </w:rPr>
  </w:style>
  <w:style w:type="paragraph" w:styleId="Subtitle">
    <w:name w:val="Subtitle"/>
    <w:basedOn w:val="Normal1"/>
    <w:next w:val="Normal1"/>
    <w:pPr>
      <w:spacing w:after="600"/>
    </w:pPr>
    <w:rPr>
      <w:rFonts w:ascii="Cambria" w:eastAsia="Cambria" w:hAnsi="Cambria" w:cs="Cambria"/>
      <w:i/>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1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F1"/>
  </w:style>
  <w:style w:type="paragraph" w:styleId="Footer">
    <w:name w:val="footer"/>
    <w:basedOn w:val="Normal"/>
    <w:link w:val="FooterChar"/>
    <w:uiPriority w:val="99"/>
    <w:unhideWhenUsed/>
    <w:rsid w:val="00F1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F1"/>
  </w:style>
  <w:style w:type="character" w:styleId="CommentReference">
    <w:name w:val="annotation reference"/>
    <w:basedOn w:val="DefaultParagraphFont"/>
    <w:uiPriority w:val="99"/>
    <w:semiHidden/>
    <w:unhideWhenUsed/>
    <w:rsid w:val="00F164F1"/>
    <w:rPr>
      <w:sz w:val="16"/>
      <w:szCs w:val="16"/>
    </w:rPr>
  </w:style>
  <w:style w:type="paragraph" w:styleId="CommentText">
    <w:name w:val="annotation text"/>
    <w:basedOn w:val="Normal"/>
    <w:link w:val="CommentTextChar"/>
    <w:uiPriority w:val="99"/>
    <w:semiHidden/>
    <w:unhideWhenUsed/>
    <w:rsid w:val="00F164F1"/>
    <w:pPr>
      <w:spacing w:line="240" w:lineRule="auto"/>
    </w:pPr>
    <w:rPr>
      <w:sz w:val="20"/>
      <w:szCs w:val="20"/>
    </w:rPr>
  </w:style>
  <w:style w:type="character" w:customStyle="1" w:styleId="CommentTextChar">
    <w:name w:val="Comment Text Char"/>
    <w:basedOn w:val="DefaultParagraphFont"/>
    <w:link w:val="CommentText"/>
    <w:uiPriority w:val="99"/>
    <w:semiHidden/>
    <w:rsid w:val="00F164F1"/>
    <w:rPr>
      <w:sz w:val="20"/>
      <w:szCs w:val="20"/>
    </w:rPr>
  </w:style>
  <w:style w:type="paragraph" w:styleId="CommentSubject">
    <w:name w:val="annotation subject"/>
    <w:basedOn w:val="CommentText"/>
    <w:next w:val="CommentText"/>
    <w:link w:val="CommentSubjectChar"/>
    <w:uiPriority w:val="99"/>
    <w:semiHidden/>
    <w:unhideWhenUsed/>
    <w:rsid w:val="00F164F1"/>
    <w:rPr>
      <w:b/>
      <w:bCs/>
    </w:rPr>
  </w:style>
  <w:style w:type="character" w:customStyle="1" w:styleId="CommentSubjectChar">
    <w:name w:val="Comment Subject Char"/>
    <w:basedOn w:val="CommentTextChar"/>
    <w:link w:val="CommentSubject"/>
    <w:uiPriority w:val="99"/>
    <w:semiHidden/>
    <w:rsid w:val="00F164F1"/>
    <w:rPr>
      <w:b/>
      <w:bCs/>
      <w:sz w:val="20"/>
      <w:szCs w:val="20"/>
    </w:rPr>
  </w:style>
  <w:style w:type="paragraph" w:styleId="BalloonText">
    <w:name w:val="Balloon Text"/>
    <w:basedOn w:val="Normal"/>
    <w:link w:val="BalloonTextChar"/>
    <w:uiPriority w:val="99"/>
    <w:semiHidden/>
    <w:unhideWhenUsed/>
    <w:rsid w:val="00F1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F1"/>
    <w:rPr>
      <w:rFonts w:ascii="Tahoma" w:hAnsi="Tahoma" w:cs="Tahoma"/>
      <w:sz w:val="16"/>
      <w:szCs w:val="16"/>
    </w:rPr>
  </w:style>
  <w:style w:type="character" w:customStyle="1" w:styleId="Heading1Char">
    <w:name w:val="Heading 1 Char"/>
    <w:basedOn w:val="DefaultParagraphFont"/>
    <w:link w:val="Heading1"/>
    <w:rsid w:val="006D5495"/>
    <w:rPr>
      <w:rFonts w:ascii="Cambria" w:eastAsia="Cambria" w:hAnsi="Cambria" w:cs="Cambria"/>
      <w:b/>
      <w:sz w:val="28"/>
      <w:szCs w:val="28"/>
    </w:rPr>
  </w:style>
  <w:style w:type="paragraph" w:styleId="Caption">
    <w:name w:val="caption"/>
    <w:basedOn w:val="Normal"/>
    <w:next w:val="Normal"/>
    <w:unhideWhenUsed/>
    <w:qFormat/>
    <w:rsid w:val="006263CC"/>
    <w:pPr>
      <w:widowControl/>
      <w:spacing w:line="240" w:lineRule="auto"/>
    </w:pPr>
    <w:rPr>
      <w:rFonts w:ascii="Times New Roman" w:eastAsia="Arial" w:hAnsi="Times New Roman" w:cs="Arial"/>
      <w:b/>
      <w:bCs/>
      <w:color w:val="4F81BD" w:themeColor="accent1"/>
      <w:sz w:val="18"/>
      <w:szCs w:val="18"/>
    </w:rPr>
  </w:style>
  <w:style w:type="paragraph" w:styleId="ListParagraph">
    <w:name w:val="List Paragraph"/>
    <w:basedOn w:val="Normal"/>
    <w:uiPriority w:val="34"/>
    <w:qFormat/>
    <w:rsid w:val="00FB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92FC-83A6-294D-964D-8499EBF0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Paula (SEN)</dc:creator>
  <cp:lastModifiedBy>Julia Holtzman</cp:lastModifiedBy>
  <cp:revision>10</cp:revision>
  <dcterms:created xsi:type="dcterms:W3CDTF">2015-12-11T14:39:00Z</dcterms:created>
  <dcterms:modified xsi:type="dcterms:W3CDTF">2015-12-11T14:45:00Z</dcterms:modified>
</cp:coreProperties>
</file>