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081D5" w14:textId="77777777" w:rsidR="0034209D" w:rsidRDefault="0034209D" w:rsidP="0034209D">
      <w:pPr>
        <w:spacing w:after="0" w:line="240" w:lineRule="auto"/>
        <w:rPr>
          <w:rFonts w:ascii="Arial" w:eastAsia="Times New Roman" w:hAnsi="Arial" w:cs="Arial"/>
          <w:b/>
          <w:bCs/>
          <w:color w:val="000000"/>
          <w:sz w:val="32"/>
          <w:szCs w:val="32"/>
        </w:rPr>
      </w:pPr>
    </w:p>
    <w:p w14:paraId="214C3034" w14:textId="77777777" w:rsidR="0034209D" w:rsidRDefault="0034209D" w:rsidP="0034209D">
      <w:pPr>
        <w:spacing w:after="0" w:line="240" w:lineRule="auto"/>
        <w:jc w:val="center"/>
        <w:rPr>
          <w:rFonts w:ascii="Arial" w:eastAsia="Times New Roman" w:hAnsi="Arial" w:cs="Arial"/>
          <w:b/>
          <w:bCs/>
          <w:color w:val="000000"/>
          <w:sz w:val="32"/>
          <w:szCs w:val="32"/>
        </w:rPr>
      </w:pPr>
    </w:p>
    <w:p w14:paraId="33BE3893" w14:textId="00DF59C7" w:rsidR="0034209D" w:rsidRDefault="0034209D" w:rsidP="0034209D">
      <w:pPr>
        <w:spacing w:after="0" w:line="240" w:lineRule="auto"/>
        <w:jc w:val="center"/>
        <w:rPr>
          <w:rFonts w:ascii="Arial" w:eastAsia="Times New Roman" w:hAnsi="Arial" w:cs="Arial"/>
          <w:b/>
          <w:bCs/>
          <w:color w:val="000000"/>
          <w:sz w:val="32"/>
          <w:szCs w:val="32"/>
        </w:rPr>
      </w:pPr>
      <w:r>
        <w:rPr>
          <w:rFonts w:ascii="Arial" w:hAnsi="Arial" w:cs="Arial"/>
          <w:noProof/>
          <w:color w:val="000000"/>
          <w:sz w:val="36"/>
          <w:szCs w:val="36"/>
          <w:bdr w:val="none" w:sz="0" w:space="0" w:color="auto" w:frame="1"/>
        </w:rPr>
        <w:drawing>
          <wp:inline distT="0" distB="0" distL="0" distR="0" wp14:anchorId="61AC5FFF" wp14:editId="6D7A1E0A">
            <wp:extent cx="3535680" cy="2712720"/>
            <wp:effectExtent l="0" t="0" r="762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35680" cy="2712720"/>
                    </a:xfrm>
                    <a:prstGeom prst="rect">
                      <a:avLst/>
                    </a:prstGeom>
                    <a:noFill/>
                    <a:ln>
                      <a:noFill/>
                    </a:ln>
                  </pic:spPr>
                </pic:pic>
              </a:graphicData>
            </a:graphic>
          </wp:inline>
        </w:drawing>
      </w:r>
    </w:p>
    <w:p w14:paraId="13332F4B" w14:textId="6E20774A" w:rsidR="0034209D" w:rsidRPr="00344501" w:rsidRDefault="0034209D" w:rsidP="0034209D">
      <w:pPr>
        <w:spacing w:after="0" w:line="240" w:lineRule="auto"/>
        <w:jc w:val="center"/>
        <w:rPr>
          <w:rFonts w:ascii="Times New Roman" w:eastAsia="Times New Roman" w:hAnsi="Times New Roman" w:cs="Times New Roman"/>
          <w:b/>
          <w:bCs/>
          <w:color w:val="000000"/>
          <w:sz w:val="32"/>
          <w:szCs w:val="32"/>
        </w:rPr>
      </w:pPr>
      <w:r w:rsidRPr="00344501">
        <w:rPr>
          <w:rFonts w:ascii="Times New Roman" w:eastAsia="Times New Roman" w:hAnsi="Times New Roman" w:cs="Times New Roman"/>
          <w:b/>
          <w:bCs/>
          <w:color w:val="000000"/>
          <w:sz w:val="32"/>
          <w:szCs w:val="32"/>
        </w:rPr>
        <w:t>New Nucleoside Analogs for Visualizing DNA Replication with a Culture of Safety Analysis in New York Hospitals</w:t>
      </w:r>
    </w:p>
    <w:p w14:paraId="6E8D35AF" w14:textId="77777777" w:rsidR="00BE596A" w:rsidRPr="00344501" w:rsidRDefault="00BE596A" w:rsidP="0034209D">
      <w:pPr>
        <w:spacing w:after="0" w:line="240" w:lineRule="auto"/>
        <w:jc w:val="center"/>
        <w:rPr>
          <w:rFonts w:ascii="Times New Roman" w:eastAsia="Times New Roman" w:hAnsi="Times New Roman" w:cs="Times New Roman"/>
          <w:sz w:val="24"/>
          <w:szCs w:val="24"/>
        </w:rPr>
      </w:pPr>
    </w:p>
    <w:p w14:paraId="2DAA0AEB" w14:textId="4F1933FD" w:rsidR="0034209D" w:rsidRDefault="0034209D" w:rsidP="0034209D">
      <w:pPr>
        <w:spacing w:after="0" w:line="240" w:lineRule="auto"/>
        <w:jc w:val="center"/>
        <w:rPr>
          <w:rFonts w:ascii="Times New Roman" w:eastAsia="Times New Roman" w:hAnsi="Times New Roman" w:cs="Times New Roman"/>
          <w:color w:val="000000"/>
          <w:sz w:val="26"/>
          <w:szCs w:val="26"/>
        </w:rPr>
      </w:pPr>
      <w:r w:rsidRPr="00344501">
        <w:rPr>
          <w:rFonts w:ascii="Times New Roman" w:eastAsia="Times New Roman" w:hAnsi="Times New Roman" w:cs="Times New Roman"/>
          <w:color w:val="000000"/>
          <w:sz w:val="26"/>
          <w:szCs w:val="26"/>
        </w:rPr>
        <w:t>A Major Qualifying Project submitted to the faculty of Worcester Polytechnic Institute in partial fulfillment of the requirements for the Degree of Bachelor of Science.</w:t>
      </w:r>
    </w:p>
    <w:p w14:paraId="14EC51A5" w14:textId="22DE9A81" w:rsidR="001D7FCE" w:rsidRDefault="001D7FCE" w:rsidP="0034209D">
      <w:pPr>
        <w:spacing w:after="0" w:line="240" w:lineRule="auto"/>
        <w:jc w:val="center"/>
        <w:rPr>
          <w:rFonts w:ascii="Times New Roman" w:eastAsia="Times New Roman" w:hAnsi="Times New Roman" w:cs="Times New Roman"/>
          <w:color w:val="000000"/>
          <w:sz w:val="26"/>
          <w:szCs w:val="26"/>
        </w:rPr>
      </w:pPr>
      <w:r w:rsidRPr="001D7FCE">
        <w:rPr>
          <w:rFonts w:ascii="Times New Roman" w:eastAsia="Times New Roman" w:hAnsi="Times New Roman" w:cs="Times New Roman"/>
          <w:color w:val="000000"/>
          <w:sz w:val="26"/>
          <w:szCs w:val="26"/>
        </w:rPr>
        <w:t>This report represents the work of one or more WPI undergraduate students submitted to the faculty as evidence of completion of a degree requirement. WPI routinely publishes these reports on the web without editorial or peer review</w:t>
      </w:r>
    </w:p>
    <w:p w14:paraId="5B936362" w14:textId="77777777" w:rsidR="00344501" w:rsidRPr="00344501" w:rsidRDefault="00344501" w:rsidP="0034209D">
      <w:pPr>
        <w:spacing w:after="0" w:line="240" w:lineRule="auto"/>
        <w:jc w:val="center"/>
        <w:rPr>
          <w:rFonts w:ascii="Times New Roman" w:eastAsia="Times New Roman" w:hAnsi="Times New Roman" w:cs="Times New Roman"/>
          <w:sz w:val="24"/>
          <w:szCs w:val="24"/>
        </w:rPr>
      </w:pPr>
    </w:p>
    <w:p w14:paraId="6F719576" w14:textId="17BC559B" w:rsidR="0034209D" w:rsidRPr="00344501" w:rsidRDefault="0034209D" w:rsidP="0034209D">
      <w:pPr>
        <w:spacing w:after="0" w:line="240" w:lineRule="auto"/>
        <w:rPr>
          <w:rFonts w:ascii="Times New Roman" w:eastAsia="Times New Roman" w:hAnsi="Times New Roman" w:cs="Times New Roman"/>
          <w:color w:val="000000"/>
          <w:sz w:val="26"/>
          <w:szCs w:val="26"/>
        </w:rPr>
      </w:pPr>
      <w:r w:rsidRPr="00344501">
        <w:rPr>
          <w:rFonts w:ascii="Times New Roman" w:eastAsia="Times New Roman" w:hAnsi="Times New Roman" w:cs="Times New Roman"/>
          <w:color w:val="000000"/>
          <w:sz w:val="26"/>
          <w:szCs w:val="26"/>
        </w:rPr>
        <w:t>Submitted by:</w:t>
      </w:r>
    </w:p>
    <w:p w14:paraId="2F2CCE1D" w14:textId="77777777" w:rsidR="00E41534" w:rsidRPr="00344501" w:rsidRDefault="00E41534" w:rsidP="0034209D">
      <w:pPr>
        <w:spacing w:after="0" w:line="240" w:lineRule="auto"/>
        <w:rPr>
          <w:rFonts w:ascii="Times New Roman" w:eastAsia="Times New Roman" w:hAnsi="Times New Roman" w:cs="Times New Roman"/>
          <w:sz w:val="24"/>
          <w:szCs w:val="24"/>
        </w:rPr>
      </w:pPr>
    </w:p>
    <w:p w14:paraId="737FC3A1" w14:textId="0D8DE5FA" w:rsidR="0034209D" w:rsidRPr="00344501" w:rsidRDefault="0034209D" w:rsidP="00E41534">
      <w:pPr>
        <w:spacing w:after="0" w:line="240" w:lineRule="auto"/>
        <w:ind w:firstLine="450"/>
        <w:rPr>
          <w:rFonts w:ascii="Times New Roman" w:eastAsia="Times New Roman" w:hAnsi="Times New Roman" w:cs="Times New Roman"/>
          <w:sz w:val="24"/>
          <w:szCs w:val="24"/>
        </w:rPr>
      </w:pPr>
      <w:r w:rsidRPr="00344501">
        <w:rPr>
          <w:rFonts w:ascii="Times New Roman" w:eastAsia="Times New Roman" w:hAnsi="Times New Roman" w:cs="Times New Roman"/>
          <w:color w:val="000000"/>
          <w:sz w:val="26"/>
          <w:szCs w:val="26"/>
        </w:rPr>
        <w:t>Silvana M. Reid</w:t>
      </w:r>
      <w:r w:rsidR="00E41534" w:rsidRPr="00344501">
        <w:rPr>
          <w:rFonts w:ascii="Times New Roman" w:eastAsia="Times New Roman" w:hAnsi="Times New Roman" w:cs="Times New Roman"/>
          <w:color w:val="000000"/>
          <w:sz w:val="26"/>
          <w:szCs w:val="26"/>
        </w:rPr>
        <w:t xml:space="preserve">, </w:t>
      </w:r>
      <w:r w:rsidRPr="00344501">
        <w:rPr>
          <w:rFonts w:ascii="Times New Roman" w:eastAsia="Times New Roman" w:hAnsi="Times New Roman" w:cs="Times New Roman"/>
          <w:color w:val="000000"/>
          <w:sz w:val="26"/>
          <w:szCs w:val="26"/>
        </w:rPr>
        <w:t>Biochemistry and Professional Writing </w:t>
      </w:r>
    </w:p>
    <w:p w14:paraId="0780E9C2" w14:textId="77777777" w:rsidR="0034209D" w:rsidRPr="00344501" w:rsidRDefault="0034209D" w:rsidP="0034209D">
      <w:pPr>
        <w:spacing w:after="0" w:line="240" w:lineRule="auto"/>
        <w:rPr>
          <w:rFonts w:ascii="Times New Roman" w:eastAsia="Times New Roman" w:hAnsi="Times New Roman" w:cs="Times New Roman"/>
          <w:sz w:val="24"/>
          <w:szCs w:val="24"/>
        </w:rPr>
      </w:pPr>
    </w:p>
    <w:p w14:paraId="77946B19" w14:textId="5F6C4F2E" w:rsidR="0034209D" w:rsidRPr="00344501" w:rsidRDefault="0034209D" w:rsidP="0034209D">
      <w:pPr>
        <w:spacing w:after="0" w:line="240" w:lineRule="auto"/>
        <w:rPr>
          <w:rFonts w:ascii="Times New Roman" w:eastAsia="Times New Roman" w:hAnsi="Times New Roman" w:cs="Times New Roman"/>
          <w:color w:val="000000"/>
          <w:sz w:val="26"/>
          <w:szCs w:val="26"/>
        </w:rPr>
      </w:pPr>
      <w:r w:rsidRPr="00344501">
        <w:rPr>
          <w:rFonts w:ascii="Times New Roman" w:eastAsia="Times New Roman" w:hAnsi="Times New Roman" w:cs="Times New Roman"/>
          <w:color w:val="000000"/>
          <w:sz w:val="26"/>
          <w:szCs w:val="26"/>
        </w:rPr>
        <w:t>Advis</w:t>
      </w:r>
      <w:r w:rsidR="00E41534" w:rsidRPr="00344501">
        <w:rPr>
          <w:rFonts w:ascii="Times New Roman" w:eastAsia="Times New Roman" w:hAnsi="Times New Roman" w:cs="Times New Roman"/>
          <w:color w:val="000000"/>
          <w:sz w:val="26"/>
          <w:szCs w:val="26"/>
        </w:rPr>
        <w:t>ed By:</w:t>
      </w:r>
    </w:p>
    <w:p w14:paraId="59268D1F" w14:textId="77777777" w:rsidR="00E41534" w:rsidRPr="00344501" w:rsidRDefault="00E41534" w:rsidP="0034209D">
      <w:pPr>
        <w:spacing w:after="0" w:line="240" w:lineRule="auto"/>
        <w:rPr>
          <w:rFonts w:ascii="Times New Roman" w:eastAsia="Times New Roman" w:hAnsi="Times New Roman" w:cs="Times New Roman"/>
          <w:sz w:val="24"/>
          <w:szCs w:val="24"/>
        </w:rPr>
      </w:pPr>
    </w:p>
    <w:p w14:paraId="13DDA40F" w14:textId="1A24E80C" w:rsidR="0034209D" w:rsidRPr="00344501" w:rsidRDefault="00382C77" w:rsidP="001F4B1B">
      <w:pPr>
        <w:spacing w:after="0" w:line="360" w:lineRule="auto"/>
        <w:ind w:left="450"/>
        <w:rPr>
          <w:rFonts w:ascii="Times New Roman" w:eastAsia="Times New Roman" w:hAnsi="Times New Roman" w:cs="Times New Roman"/>
          <w:sz w:val="24"/>
          <w:szCs w:val="24"/>
        </w:rPr>
      </w:pPr>
      <w:r w:rsidRPr="00344501">
        <w:rPr>
          <w:rFonts w:ascii="Times New Roman" w:eastAsia="Times New Roman" w:hAnsi="Times New Roman" w:cs="Times New Roman"/>
          <w:color w:val="000000"/>
          <w:sz w:val="26"/>
          <w:szCs w:val="26"/>
        </w:rPr>
        <w:t xml:space="preserve">Professor </w:t>
      </w:r>
      <w:r w:rsidR="0034209D" w:rsidRPr="00344501">
        <w:rPr>
          <w:rFonts w:ascii="Times New Roman" w:eastAsia="Times New Roman" w:hAnsi="Times New Roman" w:cs="Times New Roman"/>
          <w:color w:val="000000"/>
          <w:sz w:val="26"/>
          <w:szCs w:val="26"/>
        </w:rPr>
        <w:t>Destin Heilman</w:t>
      </w:r>
      <w:r w:rsidR="0040106B" w:rsidRPr="00344501">
        <w:rPr>
          <w:rFonts w:ascii="Times New Roman" w:eastAsia="Times New Roman" w:hAnsi="Times New Roman" w:cs="Times New Roman"/>
          <w:color w:val="000000"/>
          <w:sz w:val="26"/>
          <w:szCs w:val="26"/>
        </w:rPr>
        <w:t>, Ph.D., Department of Chemistry and Biochemistry</w:t>
      </w:r>
    </w:p>
    <w:p w14:paraId="38EB7E3C" w14:textId="4F2EB444" w:rsidR="0034209D" w:rsidRPr="00344501" w:rsidRDefault="00382C77" w:rsidP="001F4B1B">
      <w:pPr>
        <w:spacing w:after="0" w:line="360" w:lineRule="auto"/>
        <w:ind w:left="450"/>
        <w:rPr>
          <w:rFonts w:ascii="Times New Roman" w:eastAsia="Times New Roman" w:hAnsi="Times New Roman" w:cs="Times New Roman"/>
          <w:sz w:val="24"/>
          <w:szCs w:val="24"/>
        </w:rPr>
      </w:pPr>
      <w:r w:rsidRPr="00344501">
        <w:rPr>
          <w:rFonts w:ascii="Times New Roman" w:eastAsia="Times New Roman" w:hAnsi="Times New Roman" w:cs="Times New Roman"/>
          <w:color w:val="000000"/>
          <w:sz w:val="26"/>
          <w:szCs w:val="26"/>
        </w:rPr>
        <w:t xml:space="preserve">Professor </w:t>
      </w:r>
      <w:r w:rsidR="0034209D" w:rsidRPr="00344501">
        <w:rPr>
          <w:rFonts w:ascii="Times New Roman" w:eastAsia="Times New Roman" w:hAnsi="Times New Roman" w:cs="Times New Roman"/>
          <w:color w:val="000000"/>
          <w:sz w:val="26"/>
          <w:szCs w:val="26"/>
        </w:rPr>
        <w:t xml:space="preserve">Nicholas </w:t>
      </w:r>
      <w:proofErr w:type="spellStart"/>
      <w:r w:rsidR="0034209D" w:rsidRPr="00344501">
        <w:rPr>
          <w:rFonts w:ascii="Times New Roman" w:eastAsia="Times New Roman" w:hAnsi="Times New Roman" w:cs="Times New Roman"/>
          <w:color w:val="000000"/>
          <w:sz w:val="26"/>
          <w:szCs w:val="26"/>
        </w:rPr>
        <w:t>Rhind</w:t>
      </w:r>
      <w:proofErr w:type="spellEnd"/>
      <w:r w:rsidR="0040106B" w:rsidRPr="00344501">
        <w:rPr>
          <w:rFonts w:ascii="Times New Roman" w:eastAsia="Times New Roman" w:hAnsi="Times New Roman" w:cs="Times New Roman"/>
          <w:color w:val="000000"/>
          <w:sz w:val="26"/>
          <w:szCs w:val="26"/>
        </w:rPr>
        <w:t xml:space="preserve">, Ph.D., Department </w:t>
      </w:r>
      <w:r w:rsidR="003A5BAB" w:rsidRPr="00344501">
        <w:rPr>
          <w:rFonts w:ascii="Times New Roman" w:eastAsia="Times New Roman" w:hAnsi="Times New Roman" w:cs="Times New Roman"/>
          <w:color w:val="000000"/>
          <w:sz w:val="26"/>
          <w:szCs w:val="26"/>
        </w:rPr>
        <w:t xml:space="preserve">of Biochemistry and Molecular </w:t>
      </w:r>
      <w:r w:rsidR="007F6C09">
        <w:rPr>
          <w:rFonts w:ascii="Times New Roman" w:eastAsia="Times New Roman" w:hAnsi="Times New Roman" w:cs="Times New Roman"/>
          <w:color w:val="000000"/>
          <w:sz w:val="26"/>
          <w:szCs w:val="26"/>
        </w:rPr>
        <w:t>Biotechnology</w:t>
      </w:r>
    </w:p>
    <w:p w14:paraId="3D5692C6" w14:textId="3A0DE3D0" w:rsidR="0034209D" w:rsidRDefault="00382C77" w:rsidP="001F4B1B">
      <w:pPr>
        <w:spacing w:after="0" w:line="360" w:lineRule="auto"/>
        <w:ind w:left="450"/>
        <w:rPr>
          <w:rFonts w:ascii="Times New Roman" w:eastAsia="Times New Roman" w:hAnsi="Times New Roman" w:cs="Times New Roman"/>
          <w:color w:val="000000"/>
          <w:sz w:val="26"/>
          <w:szCs w:val="26"/>
        </w:rPr>
      </w:pPr>
      <w:r w:rsidRPr="00344501">
        <w:rPr>
          <w:rFonts w:ascii="Times New Roman" w:eastAsia="Times New Roman" w:hAnsi="Times New Roman" w:cs="Times New Roman"/>
          <w:color w:val="000000"/>
          <w:sz w:val="26"/>
          <w:szCs w:val="26"/>
        </w:rPr>
        <w:t xml:space="preserve">Professor </w:t>
      </w:r>
      <w:r w:rsidR="0034209D" w:rsidRPr="00344501">
        <w:rPr>
          <w:rFonts w:ascii="Times New Roman" w:eastAsia="Times New Roman" w:hAnsi="Times New Roman" w:cs="Times New Roman"/>
          <w:color w:val="000000"/>
          <w:sz w:val="26"/>
          <w:szCs w:val="26"/>
        </w:rPr>
        <w:t>Brenton Faber</w:t>
      </w:r>
      <w:r w:rsidR="003A5BAB" w:rsidRPr="00344501">
        <w:rPr>
          <w:rFonts w:ascii="Times New Roman" w:eastAsia="Times New Roman" w:hAnsi="Times New Roman" w:cs="Times New Roman"/>
          <w:color w:val="000000"/>
          <w:sz w:val="26"/>
          <w:szCs w:val="26"/>
        </w:rPr>
        <w:t xml:space="preserve">, Ph.D., Department </w:t>
      </w:r>
      <w:r w:rsidR="00E41534" w:rsidRPr="00344501">
        <w:rPr>
          <w:rFonts w:ascii="Times New Roman" w:eastAsia="Times New Roman" w:hAnsi="Times New Roman" w:cs="Times New Roman"/>
          <w:color w:val="000000"/>
          <w:sz w:val="26"/>
          <w:szCs w:val="26"/>
        </w:rPr>
        <w:t>of Humanities and Arts</w:t>
      </w:r>
      <w:r w:rsidR="0034209D" w:rsidRPr="00344501">
        <w:rPr>
          <w:rFonts w:ascii="Times New Roman" w:eastAsia="Times New Roman" w:hAnsi="Times New Roman" w:cs="Times New Roman"/>
          <w:color w:val="000000"/>
          <w:sz w:val="26"/>
          <w:szCs w:val="26"/>
        </w:rPr>
        <w:t> </w:t>
      </w:r>
    </w:p>
    <w:p w14:paraId="34A6F4FB" w14:textId="104F533C" w:rsidR="0092115B" w:rsidRPr="00344501" w:rsidRDefault="0092115B" w:rsidP="0092115B">
      <w:pPr>
        <w:spacing w:after="0" w:line="360" w:lineRule="auto"/>
        <w:ind w:left="450"/>
        <w:rPr>
          <w:rFonts w:ascii="Times New Roman" w:eastAsia="Times New Roman" w:hAnsi="Times New Roman" w:cs="Times New Roman"/>
          <w:sz w:val="24"/>
          <w:szCs w:val="24"/>
        </w:rPr>
      </w:pPr>
      <w:r w:rsidRPr="00344501">
        <w:rPr>
          <w:rFonts w:ascii="Times New Roman" w:eastAsia="Times New Roman" w:hAnsi="Times New Roman" w:cs="Times New Roman"/>
          <w:color w:val="000000"/>
          <w:sz w:val="26"/>
          <w:szCs w:val="26"/>
        </w:rPr>
        <w:t xml:space="preserve">Professor </w:t>
      </w:r>
      <w:proofErr w:type="spellStart"/>
      <w:r>
        <w:rPr>
          <w:rFonts w:ascii="Times New Roman" w:eastAsia="Times New Roman" w:hAnsi="Times New Roman" w:cs="Times New Roman"/>
          <w:color w:val="000000"/>
          <w:sz w:val="26"/>
          <w:szCs w:val="26"/>
        </w:rPr>
        <w:t>Yunus</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Telliel</w:t>
      </w:r>
      <w:proofErr w:type="spellEnd"/>
      <w:r w:rsidRPr="00344501">
        <w:rPr>
          <w:rFonts w:ascii="Times New Roman" w:eastAsia="Times New Roman" w:hAnsi="Times New Roman" w:cs="Times New Roman"/>
          <w:color w:val="000000"/>
          <w:sz w:val="26"/>
          <w:szCs w:val="26"/>
        </w:rPr>
        <w:t>, Ph.D., Department of Humanities and Arts </w:t>
      </w:r>
    </w:p>
    <w:p w14:paraId="41E977D5" w14:textId="77777777" w:rsidR="0092115B" w:rsidRPr="00344501" w:rsidRDefault="0092115B" w:rsidP="001F4B1B">
      <w:pPr>
        <w:spacing w:after="0" w:line="360" w:lineRule="auto"/>
        <w:ind w:left="450"/>
        <w:rPr>
          <w:rFonts w:ascii="Times New Roman" w:eastAsia="Times New Roman" w:hAnsi="Times New Roman" w:cs="Times New Roman"/>
          <w:sz w:val="24"/>
          <w:szCs w:val="24"/>
        </w:rPr>
      </w:pPr>
    </w:p>
    <w:p w14:paraId="3D1D317B" w14:textId="17BADE95" w:rsidR="0034209D" w:rsidRDefault="00344501" w:rsidP="001D7FCE">
      <w:pPr>
        <w:tabs>
          <w:tab w:val="left" w:pos="5435"/>
        </w:tabs>
        <w:spacing w:before="360" w:after="120" w:line="240" w:lineRule="auto"/>
        <w:outlineLvl w:val="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ab/>
      </w:r>
    </w:p>
    <w:bookmarkStart w:id="0" w:name="_Toc101972217" w:displacedByCustomXml="next"/>
    <w:sdt>
      <w:sdtPr>
        <w:rPr>
          <w:rFonts w:asciiTheme="minorHAnsi" w:eastAsiaTheme="minorHAnsi" w:hAnsiTheme="minorHAnsi" w:cstheme="minorBidi"/>
          <w:color w:val="auto"/>
          <w:sz w:val="22"/>
          <w:szCs w:val="22"/>
        </w:rPr>
        <w:id w:val="-111757704"/>
        <w:docPartObj>
          <w:docPartGallery w:val="Table of Contents"/>
          <w:docPartUnique/>
        </w:docPartObj>
      </w:sdtPr>
      <w:sdtEndPr>
        <w:rPr>
          <w:b/>
          <w:bCs/>
          <w:noProof/>
        </w:rPr>
      </w:sdtEndPr>
      <w:sdtContent>
        <w:p w14:paraId="39FB80EB" w14:textId="3756168A" w:rsidR="00574159" w:rsidRDefault="00574159">
          <w:pPr>
            <w:pStyle w:val="TOCHeading"/>
          </w:pPr>
          <w:r>
            <w:t>Table of Contents</w:t>
          </w:r>
        </w:p>
        <w:p w14:paraId="59883673" w14:textId="444D1913" w:rsidR="008A426F" w:rsidRDefault="00574159">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02048532" w:history="1">
            <w:r w:rsidR="008A426F" w:rsidRPr="00F06C78">
              <w:rPr>
                <w:rStyle w:val="Hyperlink"/>
                <w:rFonts w:ascii="Times New Roman" w:hAnsi="Times New Roman" w:cs="Times New Roman"/>
                <w:noProof/>
              </w:rPr>
              <w:t>Acknowledgments</w:t>
            </w:r>
            <w:r w:rsidR="008A426F">
              <w:rPr>
                <w:noProof/>
                <w:webHidden/>
              </w:rPr>
              <w:tab/>
            </w:r>
            <w:r w:rsidR="008A426F">
              <w:rPr>
                <w:noProof/>
                <w:webHidden/>
              </w:rPr>
              <w:fldChar w:fldCharType="begin"/>
            </w:r>
            <w:r w:rsidR="008A426F">
              <w:rPr>
                <w:noProof/>
                <w:webHidden/>
              </w:rPr>
              <w:instrText xml:space="preserve"> PAGEREF _Toc102048532 \h </w:instrText>
            </w:r>
            <w:r w:rsidR="008A426F">
              <w:rPr>
                <w:noProof/>
                <w:webHidden/>
              </w:rPr>
            </w:r>
            <w:r w:rsidR="008A426F">
              <w:rPr>
                <w:noProof/>
                <w:webHidden/>
              </w:rPr>
              <w:fldChar w:fldCharType="separate"/>
            </w:r>
            <w:r w:rsidR="008A426F">
              <w:rPr>
                <w:noProof/>
                <w:webHidden/>
              </w:rPr>
              <w:t>8</w:t>
            </w:r>
            <w:r w:rsidR="008A426F">
              <w:rPr>
                <w:noProof/>
                <w:webHidden/>
              </w:rPr>
              <w:fldChar w:fldCharType="end"/>
            </w:r>
          </w:hyperlink>
        </w:p>
        <w:p w14:paraId="599DB8DC" w14:textId="79D20034" w:rsidR="008A426F" w:rsidRDefault="008A426F">
          <w:pPr>
            <w:pStyle w:val="TOC1"/>
            <w:tabs>
              <w:tab w:val="right" w:leader="dot" w:pos="9350"/>
            </w:tabs>
            <w:rPr>
              <w:rFonts w:eastAsiaTheme="minorEastAsia"/>
              <w:noProof/>
            </w:rPr>
          </w:pPr>
          <w:hyperlink w:anchor="_Toc102048533" w:history="1">
            <w:r w:rsidRPr="00F06C78">
              <w:rPr>
                <w:rStyle w:val="Hyperlink"/>
                <w:rFonts w:ascii="Times New Roman" w:hAnsi="Times New Roman" w:cs="Times New Roman"/>
                <w:noProof/>
              </w:rPr>
              <w:t>Forward</w:t>
            </w:r>
            <w:r>
              <w:rPr>
                <w:noProof/>
                <w:webHidden/>
              </w:rPr>
              <w:tab/>
            </w:r>
            <w:r>
              <w:rPr>
                <w:noProof/>
                <w:webHidden/>
              </w:rPr>
              <w:fldChar w:fldCharType="begin"/>
            </w:r>
            <w:r>
              <w:rPr>
                <w:noProof/>
                <w:webHidden/>
              </w:rPr>
              <w:instrText xml:space="preserve"> PAGEREF _Toc102048533 \h </w:instrText>
            </w:r>
            <w:r>
              <w:rPr>
                <w:noProof/>
                <w:webHidden/>
              </w:rPr>
            </w:r>
            <w:r>
              <w:rPr>
                <w:noProof/>
                <w:webHidden/>
              </w:rPr>
              <w:fldChar w:fldCharType="separate"/>
            </w:r>
            <w:r>
              <w:rPr>
                <w:noProof/>
                <w:webHidden/>
              </w:rPr>
              <w:t>9</w:t>
            </w:r>
            <w:r>
              <w:rPr>
                <w:noProof/>
                <w:webHidden/>
              </w:rPr>
              <w:fldChar w:fldCharType="end"/>
            </w:r>
          </w:hyperlink>
        </w:p>
        <w:p w14:paraId="12C9BD05" w14:textId="7EFEA2D6" w:rsidR="008A426F" w:rsidRDefault="008A426F">
          <w:pPr>
            <w:pStyle w:val="TOC1"/>
            <w:tabs>
              <w:tab w:val="right" w:leader="dot" w:pos="9350"/>
            </w:tabs>
            <w:rPr>
              <w:rFonts w:eastAsiaTheme="minorEastAsia"/>
              <w:noProof/>
            </w:rPr>
          </w:pPr>
          <w:hyperlink w:anchor="_Toc102048534" w:history="1">
            <w:r w:rsidRPr="00F06C78">
              <w:rPr>
                <w:rStyle w:val="Hyperlink"/>
                <w:rFonts w:eastAsia="Times New Roman"/>
                <w:b/>
                <w:bCs/>
                <w:noProof/>
              </w:rPr>
              <w:t>Part 1: New Nucleoside Labeling for DNA Visualization</w:t>
            </w:r>
            <w:r>
              <w:rPr>
                <w:noProof/>
                <w:webHidden/>
              </w:rPr>
              <w:tab/>
            </w:r>
            <w:r>
              <w:rPr>
                <w:noProof/>
                <w:webHidden/>
              </w:rPr>
              <w:fldChar w:fldCharType="begin"/>
            </w:r>
            <w:r>
              <w:rPr>
                <w:noProof/>
                <w:webHidden/>
              </w:rPr>
              <w:instrText xml:space="preserve"> PAGEREF _Toc102048534 \h </w:instrText>
            </w:r>
            <w:r>
              <w:rPr>
                <w:noProof/>
                <w:webHidden/>
              </w:rPr>
            </w:r>
            <w:r>
              <w:rPr>
                <w:noProof/>
                <w:webHidden/>
              </w:rPr>
              <w:fldChar w:fldCharType="separate"/>
            </w:r>
            <w:r>
              <w:rPr>
                <w:noProof/>
                <w:webHidden/>
              </w:rPr>
              <w:t>10</w:t>
            </w:r>
            <w:r>
              <w:rPr>
                <w:noProof/>
                <w:webHidden/>
              </w:rPr>
              <w:fldChar w:fldCharType="end"/>
            </w:r>
          </w:hyperlink>
        </w:p>
        <w:p w14:paraId="24AD1BE2" w14:textId="71AD7E35" w:rsidR="008A426F" w:rsidRDefault="008A426F">
          <w:pPr>
            <w:pStyle w:val="TOC1"/>
            <w:tabs>
              <w:tab w:val="right" w:leader="dot" w:pos="9350"/>
            </w:tabs>
            <w:rPr>
              <w:rFonts w:eastAsiaTheme="minorEastAsia"/>
              <w:noProof/>
            </w:rPr>
          </w:pPr>
          <w:hyperlink w:anchor="_Toc102048535" w:history="1">
            <w:r w:rsidRPr="00F06C78">
              <w:rPr>
                <w:rStyle w:val="Hyperlink"/>
                <w:noProof/>
              </w:rPr>
              <w:t>Abstract</w:t>
            </w:r>
            <w:r>
              <w:rPr>
                <w:noProof/>
                <w:webHidden/>
              </w:rPr>
              <w:tab/>
            </w:r>
            <w:r>
              <w:rPr>
                <w:noProof/>
                <w:webHidden/>
              </w:rPr>
              <w:fldChar w:fldCharType="begin"/>
            </w:r>
            <w:r>
              <w:rPr>
                <w:noProof/>
                <w:webHidden/>
              </w:rPr>
              <w:instrText xml:space="preserve"> PAGEREF _Toc102048535 \h </w:instrText>
            </w:r>
            <w:r>
              <w:rPr>
                <w:noProof/>
                <w:webHidden/>
              </w:rPr>
            </w:r>
            <w:r>
              <w:rPr>
                <w:noProof/>
                <w:webHidden/>
              </w:rPr>
              <w:fldChar w:fldCharType="separate"/>
            </w:r>
            <w:r>
              <w:rPr>
                <w:noProof/>
                <w:webHidden/>
              </w:rPr>
              <w:t>11</w:t>
            </w:r>
            <w:r>
              <w:rPr>
                <w:noProof/>
                <w:webHidden/>
              </w:rPr>
              <w:fldChar w:fldCharType="end"/>
            </w:r>
          </w:hyperlink>
        </w:p>
        <w:p w14:paraId="20136886" w14:textId="264A5EF4" w:rsidR="008A426F" w:rsidRDefault="008A426F">
          <w:pPr>
            <w:pStyle w:val="TOC1"/>
            <w:tabs>
              <w:tab w:val="right" w:leader="dot" w:pos="9350"/>
            </w:tabs>
            <w:rPr>
              <w:rFonts w:eastAsiaTheme="minorEastAsia"/>
              <w:noProof/>
            </w:rPr>
          </w:pPr>
          <w:hyperlink w:anchor="_Toc102048537" w:history="1">
            <w:r w:rsidRPr="00F06C78">
              <w:rPr>
                <w:rStyle w:val="Hyperlink"/>
                <w:noProof/>
              </w:rPr>
              <w:t>Introduction</w:t>
            </w:r>
            <w:r>
              <w:rPr>
                <w:noProof/>
                <w:webHidden/>
              </w:rPr>
              <w:tab/>
            </w:r>
            <w:r>
              <w:rPr>
                <w:noProof/>
                <w:webHidden/>
              </w:rPr>
              <w:fldChar w:fldCharType="begin"/>
            </w:r>
            <w:r>
              <w:rPr>
                <w:noProof/>
                <w:webHidden/>
              </w:rPr>
              <w:instrText xml:space="preserve"> PAGEREF _Toc102048537 \h </w:instrText>
            </w:r>
            <w:r>
              <w:rPr>
                <w:noProof/>
                <w:webHidden/>
              </w:rPr>
            </w:r>
            <w:r>
              <w:rPr>
                <w:noProof/>
                <w:webHidden/>
              </w:rPr>
              <w:fldChar w:fldCharType="separate"/>
            </w:r>
            <w:r>
              <w:rPr>
                <w:noProof/>
                <w:webHidden/>
              </w:rPr>
              <w:t>12</w:t>
            </w:r>
            <w:r>
              <w:rPr>
                <w:noProof/>
                <w:webHidden/>
              </w:rPr>
              <w:fldChar w:fldCharType="end"/>
            </w:r>
          </w:hyperlink>
        </w:p>
        <w:p w14:paraId="239D91BB" w14:textId="7EC9FC32" w:rsidR="008A426F" w:rsidRDefault="008A426F">
          <w:pPr>
            <w:pStyle w:val="TOC2"/>
            <w:tabs>
              <w:tab w:val="right" w:leader="dot" w:pos="9350"/>
            </w:tabs>
            <w:rPr>
              <w:rFonts w:eastAsiaTheme="minorEastAsia"/>
              <w:noProof/>
            </w:rPr>
          </w:pPr>
          <w:hyperlink w:anchor="_Toc102048538" w:history="1">
            <w:r w:rsidRPr="00F06C78">
              <w:rPr>
                <w:rStyle w:val="Hyperlink"/>
                <w:noProof/>
              </w:rPr>
              <w:t>DNA Replication Models:</w:t>
            </w:r>
            <w:r>
              <w:rPr>
                <w:noProof/>
                <w:webHidden/>
              </w:rPr>
              <w:tab/>
            </w:r>
            <w:r>
              <w:rPr>
                <w:noProof/>
                <w:webHidden/>
              </w:rPr>
              <w:fldChar w:fldCharType="begin"/>
            </w:r>
            <w:r>
              <w:rPr>
                <w:noProof/>
                <w:webHidden/>
              </w:rPr>
              <w:instrText xml:space="preserve"> PAGEREF _Toc102048538 \h </w:instrText>
            </w:r>
            <w:r>
              <w:rPr>
                <w:noProof/>
                <w:webHidden/>
              </w:rPr>
            </w:r>
            <w:r>
              <w:rPr>
                <w:noProof/>
                <w:webHidden/>
              </w:rPr>
              <w:fldChar w:fldCharType="separate"/>
            </w:r>
            <w:r>
              <w:rPr>
                <w:noProof/>
                <w:webHidden/>
              </w:rPr>
              <w:t>13</w:t>
            </w:r>
            <w:r>
              <w:rPr>
                <w:noProof/>
                <w:webHidden/>
              </w:rPr>
              <w:fldChar w:fldCharType="end"/>
            </w:r>
          </w:hyperlink>
        </w:p>
        <w:p w14:paraId="6EEC7D7C" w14:textId="22209732" w:rsidR="008A426F" w:rsidRDefault="008A426F">
          <w:pPr>
            <w:pStyle w:val="TOC3"/>
            <w:rPr>
              <w:rFonts w:eastAsiaTheme="minorEastAsia"/>
              <w:i w:val="0"/>
              <w:iCs w:val="0"/>
            </w:rPr>
          </w:pPr>
          <w:hyperlink w:anchor="_Toc102048539" w:history="1">
            <w:r w:rsidRPr="00F06C78">
              <w:rPr>
                <w:rStyle w:val="Hyperlink"/>
              </w:rPr>
              <w:t>Stochastic vs Deterministic</w:t>
            </w:r>
            <w:r>
              <w:rPr>
                <w:webHidden/>
              </w:rPr>
              <w:tab/>
            </w:r>
            <w:r>
              <w:rPr>
                <w:webHidden/>
              </w:rPr>
              <w:fldChar w:fldCharType="begin"/>
            </w:r>
            <w:r>
              <w:rPr>
                <w:webHidden/>
              </w:rPr>
              <w:instrText xml:space="preserve"> PAGEREF _Toc102048539 \h </w:instrText>
            </w:r>
            <w:r>
              <w:rPr>
                <w:webHidden/>
              </w:rPr>
            </w:r>
            <w:r>
              <w:rPr>
                <w:webHidden/>
              </w:rPr>
              <w:fldChar w:fldCharType="separate"/>
            </w:r>
            <w:r>
              <w:rPr>
                <w:webHidden/>
              </w:rPr>
              <w:t>13</w:t>
            </w:r>
            <w:r>
              <w:rPr>
                <w:webHidden/>
              </w:rPr>
              <w:fldChar w:fldCharType="end"/>
            </w:r>
          </w:hyperlink>
        </w:p>
        <w:p w14:paraId="0196F3FD" w14:textId="3CA9C292" w:rsidR="008A426F" w:rsidRDefault="008A426F">
          <w:pPr>
            <w:pStyle w:val="TOC3"/>
            <w:rPr>
              <w:rFonts w:eastAsiaTheme="minorEastAsia"/>
              <w:i w:val="0"/>
              <w:iCs w:val="0"/>
            </w:rPr>
          </w:pPr>
          <w:hyperlink w:anchor="_Toc102048540" w:history="1">
            <w:r w:rsidRPr="00F06C78">
              <w:rPr>
                <w:rStyle w:val="Hyperlink"/>
              </w:rPr>
              <w:t>Stochastic Increased Efficiency Model</w:t>
            </w:r>
            <w:r>
              <w:rPr>
                <w:webHidden/>
              </w:rPr>
              <w:tab/>
            </w:r>
            <w:r>
              <w:rPr>
                <w:webHidden/>
              </w:rPr>
              <w:fldChar w:fldCharType="begin"/>
            </w:r>
            <w:r>
              <w:rPr>
                <w:webHidden/>
              </w:rPr>
              <w:instrText xml:space="preserve"> PAGEREF _Toc102048540 \h </w:instrText>
            </w:r>
            <w:r>
              <w:rPr>
                <w:webHidden/>
              </w:rPr>
            </w:r>
            <w:r>
              <w:rPr>
                <w:webHidden/>
              </w:rPr>
              <w:fldChar w:fldCharType="separate"/>
            </w:r>
            <w:r>
              <w:rPr>
                <w:webHidden/>
              </w:rPr>
              <w:t>13</w:t>
            </w:r>
            <w:r>
              <w:rPr>
                <w:webHidden/>
              </w:rPr>
              <w:fldChar w:fldCharType="end"/>
            </w:r>
          </w:hyperlink>
        </w:p>
        <w:p w14:paraId="171AE0CB" w14:textId="4D2CC7E4" w:rsidR="008A426F" w:rsidRDefault="008A426F">
          <w:pPr>
            <w:pStyle w:val="TOC3"/>
            <w:rPr>
              <w:rFonts w:eastAsiaTheme="minorEastAsia"/>
              <w:i w:val="0"/>
              <w:iCs w:val="0"/>
            </w:rPr>
          </w:pPr>
          <w:hyperlink w:anchor="_Toc102048541" w:history="1">
            <w:r w:rsidRPr="00F06C78">
              <w:rPr>
                <w:rStyle w:val="Hyperlink"/>
              </w:rPr>
              <w:t>Relative Efficiency Model</w:t>
            </w:r>
            <w:r>
              <w:rPr>
                <w:webHidden/>
              </w:rPr>
              <w:tab/>
            </w:r>
            <w:r>
              <w:rPr>
                <w:webHidden/>
              </w:rPr>
              <w:fldChar w:fldCharType="begin"/>
            </w:r>
            <w:r>
              <w:rPr>
                <w:webHidden/>
              </w:rPr>
              <w:instrText xml:space="preserve"> PAGEREF _Toc102048541 \h </w:instrText>
            </w:r>
            <w:r>
              <w:rPr>
                <w:webHidden/>
              </w:rPr>
            </w:r>
            <w:r>
              <w:rPr>
                <w:webHidden/>
              </w:rPr>
              <w:fldChar w:fldCharType="separate"/>
            </w:r>
            <w:r>
              <w:rPr>
                <w:webHidden/>
              </w:rPr>
              <w:t>14</w:t>
            </w:r>
            <w:r>
              <w:rPr>
                <w:webHidden/>
              </w:rPr>
              <w:fldChar w:fldCharType="end"/>
            </w:r>
          </w:hyperlink>
        </w:p>
        <w:p w14:paraId="7D2E81D8" w14:textId="50603A3F" w:rsidR="008A426F" w:rsidRDefault="008A426F">
          <w:pPr>
            <w:pStyle w:val="TOC2"/>
            <w:tabs>
              <w:tab w:val="right" w:leader="dot" w:pos="9350"/>
            </w:tabs>
            <w:rPr>
              <w:rFonts w:eastAsiaTheme="minorEastAsia"/>
              <w:noProof/>
            </w:rPr>
          </w:pPr>
          <w:hyperlink w:anchor="_Toc102048542" w:history="1">
            <w:r w:rsidRPr="00F06C78">
              <w:rPr>
                <w:rStyle w:val="Hyperlink"/>
                <w:noProof/>
              </w:rPr>
              <w:t>Methods of Analyzing</w:t>
            </w:r>
            <w:r>
              <w:rPr>
                <w:noProof/>
                <w:webHidden/>
              </w:rPr>
              <w:tab/>
            </w:r>
            <w:r>
              <w:rPr>
                <w:noProof/>
                <w:webHidden/>
              </w:rPr>
              <w:fldChar w:fldCharType="begin"/>
            </w:r>
            <w:r>
              <w:rPr>
                <w:noProof/>
                <w:webHidden/>
              </w:rPr>
              <w:instrText xml:space="preserve"> PAGEREF _Toc102048542 \h </w:instrText>
            </w:r>
            <w:r>
              <w:rPr>
                <w:noProof/>
                <w:webHidden/>
              </w:rPr>
            </w:r>
            <w:r>
              <w:rPr>
                <w:noProof/>
                <w:webHidden/>
              </w:rPr>
              <w:fldChar w:fldCharType="separate"/>
            </w:r>
            <w:r>
              <w:rPr>
                <w:noProof/>
                <w:webHidden/>
              </w:rPr>
              <w:t>14</w:t>
            </w:r>
            <w:r>
              <w:rPr>
                <w:noProof/>
                <w:webHidden/>
              </w:rPr>
              <w:fldChar w:fldCharType="end"/>
            </w:r>
          </w:hyperlink>
        </w:p>
        <w:p w14:paraId="7C38265A" w14:textId="2723E202" w:rsidR="008A426F" w:rsidRDefault="008A426F">
          <w:pPr>
            <w:pStyle w:val="TOC3"/>
            <w:rPr>
              <w:rFonts w:eastAsiaTheme="minorEastAsia"/>
              <w:i w:val="0"/>
              <w:iCs w:val="0"/>
            </w:rPr>
          </w:pPr>
          <w:hyperlink w:anchor="_Toc102048543" w:history="1">
            <w:r w:rsidRPr="00F06C78">
              <w:rPr>
                <w:rStyle w:val="Hyperlink"/>
              </w:rPr>
              <w:t>Bulk vs Single Molecule</w:t>
            </w:r>
            <w:r>
              <w:rPr>
                <w:webHidden/>
              </w:rPr>
              <w:tab/>
            </w:r>
            <w:r>
              <w:rPr>
                <w:webHidden/>
              </w:rPr>
              <w:fldChar w:fldCharType="begin"/>
            </w:r>
            <w:r>
              <w:rPr>
                <w:webHidden/>
              </w:rPr>
              <w:instrText xml:space="preserve"> PAGEREF _Toc102048543 \h </w:instrText>
            </w:r>
            <w:r>
              <w:rPr>
                <w:webHidden/>
              </w:rPr>
            </w:r>
            <w:r>
              <w:rPr>
                <w:webHidden/>
              </w:rPr>
              <w:fldChar w:fldCharType="separate"/>
            </w:r>
            <w:r>
              <w:rPr>
                <w:webHidden/>
              </w:rPr>
              <w:t>14</w:t>
            </w:r>
            <w:r>
              <w:rPr>
                <w:webHidden/>
              </w:rPr>
              <w:fldChar w:fldCharType="end"/>
            </w:r>
          </w:hyperlink>
        </w:p>
        <w:p w14:paraId="11243C11" w14:textId="2E4E9D23" w:rsidR="008A426F" w:rsidRDefault="008A426F">
          <w:pPr>
            <w:pStyle w:val="TOC3"/>
            <w:rPr>
              <w:rFonts w:eastAsiaTheme="minorEastAsia"/>
              <w:i w:val="0"/>
              <w:iCs w:val="0"/>
            </w:rPr>
          </w:pPr>
          <w:hyperlink w:anchor="_Toc102048544" w:history="1">
            <w:r w:rsidRPr="00F06C78">
              <w:rPr>
                <w:rStyle w:val="Hyperlink"/>
              </w:rPr>
              <w:t>DNA Combing</w:t>
            </w:r>
            <w:r>
              <w:rPr>
                <w:webHidden/>
              </w:rPr>
              <w:tab/>
            </w:r>
            <w:r>
              <w:rPr>
                <w:webHidden/>
              </w:rPr>
              <w:fldChar w:fldCharType="begin"/>
            </w:r>
            <w:r>
              <w:rPr>
                <w:webHidden/>
              </w:rPr>
              <w:instrText xml:space="preserve"> PAGEREF _Toc102048544 \h </w:instrText>
            </w:r>
            <w:r>
              <w:rPr>
                <w:webHidden/>
              </w:rPr>
            </w:r>
            <w:r>
              <w:rPr>
                <w:webHidden/>
              </w:rPr>
              <w:fldChar w:fldCharType="separate"/>
            </w:r>
            <w:r>
              <w:rPr>
                <w:webHidden/>
              </w:rPr>
              <w:t>16</w:t>
            </w:r>
            <w:r>
              <w:rPr>
                <w:webHidden/>
              </w:rPr>
              <w:fldChar w:fldCharType="end"/>
            </w:r>
          </w:hyperlink>
        </w:p>
        <w:p w14:paraId="362104E9" w14:textId="225CD3CC" w:rsidR="008A426F" w:rsidRDefault="008A426F">
          <w:pPr>
            <w:pStyle w:val="TOC3"/>
            <w:rPr>
              <w:rFonts w:eastAsiaTheme="minorEastAsia"/>
              <w:i w:val="0"/>
              <w:iCs w:val="0"/>
            </w:rPr>
          </w:pPr>
          <w:hyperlink w:anchor="_Toc102048545" w:history="1">
            <w:r w:rsidRPr="00F06C78">
              <w:rPr>
                <w:rStyle w:val="Hyperlink"/>
              </w:rPr>
              <w:t>Thymidine Analogs</w:t>
            </w:r>
            <w:r>
              <w:rPr>
                <w:webHidden/>
              </w:rPr>
              <w:tab/>
            </w:r>
            <w:r>
              <w:rPr>
                <w:webHidden/>
              </w:rPr>
              <w:fldChar w:fldCharType="begin"/>
            </w:r>
            <w:r>
              <w:rPr>
                <w:webHidden/>
              </w:rPr>
              <w:instrText xml:space="preserve"> PAGEREF _Toc102048545 \h </w:instrText>
            </w:r>
            <w:r>
              <w:rPr>
                <w:webHidden/>
              </w:rPr>
            </w:r>
            <w:r>
              <w:rPr>
                <w:webHidden/>
              </w:rPr>
              <w:fldChar w:fldCharType="separate"/>
            </w:r>
            <w:r>
              <w:rPr>
                <w:webHidden/>
              </w:rPr>
              <w:t>17</w:t>
            </w:r>
            <w:r>
              <w:rPr>
                <w:webHidden/>
              </w:rPr>
              <w:fldChar w:fldCharType="end"/>
            </w:r>
          </w:hyperlink>
        </w:p>
        <w:p w14:paraId="2BC622FB" w14:textId="336C75EB" w:rsidR="008A426F" w:rsidRDefault="008A426F">
          <w:pPr>
            <w:pStyle w:val="TOC2"/>
            <w:tabs>
              <w:tab w:val="right" w:leader="dot" w:pos="9350"/>
            </w:tabs>
            <w:rPr>
              <w:rFonts w:eastAsiaTheme="minorEastAsia"/>
              <w:noProof/>
            </w:rPr>
          </w:pPr>
          <w:hyperlink w:anchor="_Toc102048546" w:history="1">
            <w:r w:rsidRPr="00F06C78">
              <w:rPr>
                <w:rStyle w:val="Hyperlink"/>
                <w:noProof/>
              </w:rPr>
              <w:t>ORM - Optical Replication Mapping</w:t>
            </w:r>
            <w:r>
              <w:rPr>
                <w:noProof/>
                <w:webHidden/>
              </w:rPr>
              <w:tab/>
            </w:r>
            <w:r>
              <w:rPr>
                <w:noProof/>
                <w:webHidden/>
              </w:rPr>
              <w:fldChar w:fldCharType="begin"/>
            </w:r>
            <w:r>
              <w:rPr>
                <w:noProof/>
                <w:webHidden/>
              </w:rPr>
              <w:instrText xml:space="preserve"> PAGEREF _Toc102048546 \h </w:instrText>
            </w:r>
            <w:r>
              <w:rPr>
                <w:noProof/>
                <w:webHidden/>
              </w:rPr>
            </w:r>
            <w:r>
              <w:rPr>
                <w:noProof/>
                <w:webHidden/>
              </w:rPr>
              <w:fldChar w:fldCharType="separate"/>
            </w:r>
            <w:r>
              <w:rPr>
                <w:noProof/>
                <w:webHidden/>
              </w:rPr>
              <w:t>18</w:t>
            </w:r>
            <w:r>
              <w:rPr>
                <w:noProof/>
                <w:webHidden/>
              </w:rPr>
              <w:fldChar w:fldCharType="end"/>
            </w:r>
          </w:hyperlink>
        </w:p>
        <w:p w14:paraId="6B38C3D5" w14:textId="4E35DCEF" w:rsidR="008A426F" w:rsidRDefault="008A426F">
          <w:pPr>
            <w:pStyle w:val="TOC3"/>
            <w:rPr>
              <w:rFonts w:eastAsiaTheme="minorEastAsia"/>
              <w:i w:val="0"/>
              <w:iCs w:val="0"/>
            </w:rPr>
          </w:pPr>
          <w:hyperlink w:anchor="_Toc102048547" w:history="1">
            <w:r w:rsidRPr="00F06C78">
              <w:rPr>
                <w:rStyle w:val="Hyperlink"/>
              </w:rPr>
              <w:t>Fluorescent Labels</w:t>
            </w:r>
            <w:r>
              <w:rPr>
                <w:webHidden/>
              </w:rPr>
              <w:tab/>
            </w:r>
            <w:r>
              <w:rPr>
                <w:webHidden/>
              </w:rPr>
              <w:fldChar w:fldCharType="begin"/>
            </w:r>
            <w:r>
              <w:rPr>
                <w:webHidden/>
              </w:rPr>
              <w:instrText xml:space="preserve"> PAGEREF _Toc102048547 \h </w:instrText>
            </w:r>
            <w:r>
              <w:rPr>
                <w:webHidden/>
              </w:rPr>
            </w:r>
            <w:r>
              <w:rPr>
                <w:webHidden/>
              </w:rPr>
              <w:fldChar w:fldCharType="separate"/>
            </w:r>
            <w:r>
              <w:rPr>
                <w:webHidden/>
              </w:rPr>
              <w:t>19</w:t>
            </w:r>
            <w:r>
              <w:rPr>
                <w:webHidden/>
              </w:rPr>
              <w:fldChar w:fldCharType="end"/>
            </w:r>
          </w:hyperlink>
        </w:p>
        <w:p w14:paraId="7BBDBB9C" w14:textId="3DFFE29A" w:rsidR="008A426F" w:rsidRDefault="008A426F">
          <w:pPr>
            <w:pStyle w:val="TOC3"/>
            <w:rPr>
              <w:rFonts w:eastAsiaTheme="minorEastAsia"/>
              <w:i w:val="0"/>
              <w:iCs w:val="0"/>
            </w:rPr>
          </w:pPr>
          <w:hyperlink w:anchor="_Toc102048548" w:history="1">
            <w:r w:rsidRPr="00F06C78">
              <w:rPr>
                <w:rStyle w:val="Hyperlink"/>
              </w:rPr>
              <w:t>Compatible Nucleosides</w:t>
            </w:r>
            <w:r>
              <w:rPr>
                <w:webHidden/>
              </w:rPr>
              <w:tab/>
            </w:r>
            <w:r>
              <w:rPr>
                <w:webHidden/>
              </w:rPr>
              <w:fldChar w:fldCharType="begin"/>
            </w:r>
            <w:r>
              <w:rPr>
                <w:webHidden/>
              </w:rPr>
              <w:instrText xml:space="preserve"> PAGEREF _Toc102048548 \h </w:instrText>
            </w:r>
            <w:r>
              <w:rPr>
                <w:webHidden/>
              </w:rPr>
            </w:r>
            <w:r>
              <w:rPr>
                <w:webHidden/>
              </w:rPr>
              <w:fldChar w:fldCharType="separate"/>
            </w:r>
            <w:r>
              <w:rPr>
                <w:webHidden/>
              </w:rPr>
              <w:t>20</w:t>
            </w:r>
            <w:r>
              <w:rPr>
                <w:webHidden/>
              </w:rPr>
              <w:fldChar w:fldCharType="end"/>
            </w:r>
          </w:hyperlink>
        </w:p>
        <w:p w14:paraId="38D34BFB" w14:textId="35F28B8B" w:rsidR="008A426F" w:rsidRDefault="008A426F">
          <w:pPr>
            <w:pStyle w:val="TOC3"/>
            <w:rPr>
              <w:rFonts w:eastAsiaTheme="minorEastAsia"/>
              <w:i w:val="0"/>
              <w:iCs w:val="0"/>
            </w:rPr>
          </w:pPr>
          <w:hyperlink w:anchor="_Toc102048549" w:history="1">
            <w:r w:rsidRPr="00F06C78">
              <w:rPr>
                <w:rStyle w:val="Hyperlink"/>
              </w:rPr>
              <w:t>Abasic Sites and Glycosylase</w:t>
            </w:r>
            <w:r>
              <w:rPr>
                <w:webHidden/>
              </w:rPr>
              <w:tab/>
            </w:r>
            <w:r>
              <w:rPr>
                <w:webHidden/>
              </w:rPr>
              <w:fldChar w:fldCharType="begin"/>
            </w:r>
            <w:r>
              <w:rPr>
                <w:webHidden/>
              </w:rPr>
              <w:instrText xml:space="preserve"> PAGEREF _Toc102048549 \h </w:instrText>
            </w:r>
            <w:r>
              <w:rPr>
                <w:webHidden/>
              </w:rPr>
            </w:r>
            <w:r>
              <w:rPr>
                <w:webHidden/>
              </w:rPr>
              <w:fldChar w:fldCharType="separate"/>
            </w:r>
            <w:r>
              <w:rPr>
                <w:webHidden/>
              </w:rPr>
              <w:t>21</w:t>
            </w:r>
            <w:r>
              <w:rPr>
                <w:webHidden/>
              </w:rPr>
              <w:fldChar w:fldCharType="end"/>
            </w:r>
          </w:hyperlink>
        </w:p>
        <w:p w14:paraId="1D169CD9" w14:textId="332DDAB8" w:rsidR="008A426F" w:rsidRDefault="008A426F">
          <w:pPr>
            <w:pStyle w:val="TOC3"/>
            <w:rPr>
              <w:rFonts w:eastAsiaTheme="minorEastAsia"/>
              <w:i w:val="0"/>
              <w:iCs w:val="0"/>
            </w:rPr>
          </w:pPr>
          <w:hyperlink w:anchor="_Toc102048550" w:history="1">
            <w:r w:rsidRPr="00F06C78">
              <w:rPr>
                <w:rStyle w:val="Hyperlink"/>
              </w:rPr>
              <w:t>Applications of Origin Site Tracking</w:t>
            </w:r>
            <w:r>
              <w:rPr>
                <w:webHidden/>
              </w:rPr>
              <w:tab/>
            </w:r>
            <w:r>
              <w:rPr>
                <w:webHidden/>
              </w:rPr>
              <w:fldChar w:fldCharType="begin"/>
            </w:r>
            <w:r>
              <w:rPr>
                <w:webHidden/>
              </w:rPr>
              <w:instrText xml:space="preserve"> PAGEREF _Toc102048550 \h </w:instrText>
            </w:r>
            <w:r>
              <w:rPr>
                <w:webHidden/>
              </w:rPr>
            </w:r>
            <w:r>
              <w:rPr>
                <w:webHidden/>
              </w:rPr>
              <w:fldChar w:fldCharType="separate"/>
            </w:r>
            <w:r>
              <w:rPr>
                <w:webHidden/>
              </w:rPr>
              <w:t>22</w:t>
            </w:r>
            <w:r>
              <w:rPr>
                <w:webHidden/>
              </w:rPr>
              <w:fldChar w:fldCharType="end"/>
            </w:r>
          </w:hyperlink>
        </w:p>
        <w:p w14:paraId="078C014F" w14:textId="3B36DE28" w:rsidR="008A426F" w:rsidRDefault="008A426F">
          <w:pPr>
            <w:pStyle w:val="TOC1"/>
            <w:tabs>
              <w:tab w:val="right" w:leader="dot" w:pos="9350"/>
            </w:tabs>
            <w:rPr>
              <w:rFonts w:eastAsiaTheme="minorEastAsia"/>
              <w:noProof/>
            </w:rPr>
          </w:pPr>
          <w:hyperlink w:anchor="_Toc102048551" w:history="1">
            <w:r w:rsidRPr="00F06C78">
              <w:rPr>
                <w:rStyle w:val="Hyperlink"/>
                <w:noProof/>
              </w:rPr>
              <w:t>Materials and Methods</w:t>
            </w:r>
            <w:r>
              <w:rPr>
                <w:noProof/>
                <w:webHidden/>
              </w:rPr>
              <w:tab/>
            </w:r>
            <w:r>
              <w:rPr>
                <w:noProof/>
                <w:webHidden/>
              </w:rPr>
              <w:fldChar w:fldCharType="begin"/>
            </w:r>
            <w:r>
              <w:rPr>
                <w:noProof/>
                <w:webHidden/>
              </w:rPr>
              <w:instrText xml:space="preserve"> PAGEREF _Toc102048551 \h </w:instrText>
            </w:r>
            <w:r>
              <w:rPr>
                <w:noProof/>
                <w:webHidden/>
              </w:rPr>
            </w:r>
            <w:r>
              <w:rPr>
                <w:noProof/>
                <w:webHidden/>
              </w:rPr>
              <w:fldChar w:fldCharType="separate"/>
            </w:r>
            <w:r>
              <w:rPr>
                <w:noProof/>
                <w:webHidden/>
              </w:rPr>
              <w:t>23</w:t>
            </w:r>
            <w:r>
              <w:rPr>
                <w:noProof/>
                <w:webHidden/>
              </w:rPr>
              <w:fldChar w:fldCharType="end"/>
            </w:r>
          </w:hyperlink>
        </w:p>
        <w:p w14:paraId="211AEA53" w14:textId="4312006F" w:rsidR="008A426F" w:rsidRDefault="008A426F">
          <w:pPr>
            <w:pStyle w:val="TOC2"/>
            <w:tabs>
              <w:tab w:val="right" w:leader="dot" w:pos="9350"/>
            </w:tabs>
            <w:rPr>
              <w:rFonts w:eastAsiaTheme="minorEastAsia"/>
              <w:noProof/>
            </w:rPr>
          </w:pPr>
          <w:hyperlink w:anchor="_Toc102048552" w:history="1">
            <w:r w:rsidRPr="00F06C78">
              <w:rPr>
                <w:rStyle w:val="Hyperlink"/>
                <w:noProof/>
              </w:rPr>
              <w:t>Testing Toxicity of Potential Nucleosides</w:t>
            </w:r>
            <w:r>
              <w:rPr>
                <w:noProof/>
                <w:webHidden/>
              </w:rPr>
              <w:tab/>
            </w:r>
            <w:r>
              <w:rPr>
                <w:noProof/>
                <w:webHidden/>
              </w:rPr>
              <w:fldChar w:fldCharType="begin"/>
            </w:r>
            <w:r>
              <w:rPr>
                <w:noProof/>
                <w:webHidden/>
              </w:rPr>
              <w:instrText xml:space="preserve"> PAGEREF _Toc102048552 \h </w:instrText>
            </w:r>
            <w:r>
              <w:rPr>
                <w:noProof/>
                <w:webHidden/>
              </w:rPr>
            </w:r>
            <w:r>
              <w:rPr>
                <w:noProof/>
                <w:webHidden/>
              </w:rPr>
              <w:fldChar w:fldCharType="separate"/>
            </w:r>
            <w:r>
              <w:rPr>
                <w:noProof/>
                <w:webHidden/>
              </w:rPr>
              <w:t>23</w:t>
            </w:r>
            <w:r>
              <w:rPr>
                <w:noProof/>
                <w:webHidden/>
              </w:rPr>
              <w:fldChar w:fldCharType="end"/>
            </w:r>
          </w:hyperlink>
        </w:p>
        <w:p w14:paraId="209C3597" w14:textId="25491061" w:rsidR="008A426F" w:rsidRDefault="008A426F">
          <w:pPr>
            <w:pStyle w:val="TOC3"/>
            <w:rPr>
              <w:rFonts w:eastAsiaTheme="minorEastAsia"/>
              <w:i w:val="0"/>
              <w:iCs w:val="0"/>
            </w:rPr>
          </w:pPr>
          <w:hyperlink w:anchor="_Toc102048553" w:history="1">
            <w:r w:rsidRPr="00F06C78">
              <w:rPr>
                <w:rStyle w:val="Hyperlink"/>
              </w:rPr>
              <w:t>Acute Growth Curves</w:t>
            </w:r>
            <w:r>
              <w:rPr>
                <w:webHidden/>
              </w:rPr>
              <w:tab/>
            </w:r>
            <w:r>
              <w:rPr>
                <w:webHidden/>
              </w:rPr>
              <w:fldChar w:fldCharType="begin"/>
            </w:r>
            <w:r>
              <w:rPr>
                <w:webHidden/>
              </w:rPr>
              <w:instrText xml:space="preserve"> PAGEREF _Toc102048553 \h </w:instrText>
            </w:r>
            <w:r>
              <w:rPr>
                <w:webHidden/>
              </w:rPr>
            </w:r>
            <w:r>
              <w:rPr>
                <w:webHidden/>
              </w:rPr>
              <w:fldChar w:fldCharType="separate"/>
            </w:r>
            <w:r>
              <w:rPr>
                <w:webHidden/>
              </w:rPr>
              <w:t>23</w:t>
            </w:r>
            <w:r>
              <w:rPr>
                <w:webHidden/>
              </w:rPr>
              <w:fldChar w:fldCharType="end"/>
            </w:r>
          </w:hyperlink>
        </w:p>
        <w:p w14:paraId="23C0A79E" w14:textId="082118B8" w:rsidR="008A426F" w:rsidRDefault="008A426F">
          <w:pPr>
            <w:pStyle w:val="TOC3"/>
            <w:rPr>
              <w:rFonts w:eastAsiaTheme="minorEastAsia"/>
              <w:i w:val="0"/>
              <w:iCs w:val="0"/>
            </w:rPr>
          </w:pPr>
          <w:hyperlink w:anchor="_Toc102048554" w:history="1">
            <w:r w:rsidRPr="00F06C78">
              <w:rPr>
                <w:rStyle w:val="Hyperlink"/>
              </w:rPr>
              <w:t>Long-Term Growth Curves</w:t>
            </w:r>
            <w:r>
              <w:rPr>
                <w:webHidden/>
              </w:rPr>
              <w:tab/>
            </w:r>
            <w:r>
              <w:rPr>
                <w:webHidden/>
              </w:rPr>
              <w:fldChar w:fldCharType="begin"/>
            </w:r>
            <w:r>
              <w:rPr>
                <w:webHidden/>
              </w:rPr>
              <w:instrText xml:space="preserve"> PAGEREF _Toc102048554 \h </w:instrText>
            </w:r>
            <w:r>
              <w:rPr>
                <w:webHidden/>
              </w:rPr>
            </w:r>
            <w:r>
              <w:rPr>
                <w:webHidden/>
              </w:rPr>
              <w:fldChar w:fldCharType="separate"/>
            </w:r>
            <w:r>
              <w:rPr>
                <w:webHidden/>
              </w:rPr>
              <w:t>23</w:t>
            </w:r>
            <w:r>
              <w:rPr>
                <w:webHidden/>
              </w:rPr>
              <w:fldChar w:fldCharType="end"/>
            </w:r>
          </w:hyperlink>
        </w:p>
        <w:p w14:paraId="30EB0FFF" w14:textId="30800DF5" w:rsidR="008A426F" w:rsidRDefault="008A426F">
          <w:pPr>
            <w:pStyle w:val="TOC2"/>
            <w:tabs>
              <w:tab w:val="right" w:leader="dot" w:pos="9350"/>
            </w:tabs>
            <w:rPr>
              <w:rFonts w:eastAsiaTheme="minorEastAsia"/>
              <w:noProof/>
            </w:rPr>
          </w:pPr>
          <w:hyperlink w:anchor="_Toc102048555" w:history="1">
            <w:r w:rsidRPr="00F06C78">
              <w:rPr>
                <w:rStyle w:val="Hyperlink"/>
                <w:noProof/>
              </w:rPr>
              <w:t>Testing Incorporation of VdU</w:t>
            </w:r>
            <w:r>
              <w:rPr>
                <w:noProof/>
                <w:webHidden/>
              </w:rPr>
              <w:tab/>
            </w:r>
            <w:r>
              <w:rPr>
                <w:noProof/>
                <w:webHidden/>
              </w:rPr>
              <w:fldChar w:fldCharType="begin"/>
            </w:r>
            <w:r>
              <w:rPr>
                <w:noProof/>
                <w:webHidden/>
              </w:rPr>
              <w:instrText xml:space="preserve"> PAGEREF _Toc102048555 \h </w:instrText>
            </w:r>
            <w:r>
              <w:rPr>
                <w:noProof/>
                <w:webHidden/>
              </w:rPr>
            </w:r>
            <w:r>
              <w:rPr>
                <w:noProof/>
                <w:webHidden/>
              </w:rPr>
              <w:fldChar w:fldCharType="separate"/>
            </w:r>
            <w:r>
              <w:rPr>
                <w:noProof/>
                <w:webHidden/>
              </w:rPr>
              <w:t>23</w:t>
            </w:r>
            <w:r>
              <w:rPr>
                <w:noProof/>
                <w:webHidden/>
              </w:rPr>
              <w:fldChar w:fldCharType="end"/>
            </w:r>
          </w:hyperlink>
        </w:p>
        <w:p w14:paraId="44D17AEF" w14:textId="5D5C2ACA" w:rsidR="008A426F" w:rsidRDefault="008A426F">
          <w:pPr>
            <w:pStyle w:val="TOC3"/>
            <w:rPr>
              <w:rFonts w:eastAsiaTheme="minorEastAsia"/>
              <w:i w:val="0"/>
              <w:iCs w:val="0"/>
            </w:rPr>
          </w:pPr>
          <w:hyperlink w:anchor="_Toc102048556" w:history="1">
            <w:r w:rsidRPr="00F06C78">
              <w:rPr>
                <w:rStyle w:val="Hyperlink"/>
              </w:rPr>
              <w:t>Cell Preparation</w:t>
            </w:r>
            <w:r>
              <w:rPr>
                <w:webHidden/>
              </w:rPr>
              <w:tab/>
            </w:r>
            <w:r>
              <w:rPr>
                <w:webHidden/>
              </w:rPr>
              <w:fldChar w:fldCharType="begin"/>
            </w:r>
            <w:r>
              <w:rPr>
                <w:webHidden/>
              </w:rPr>
              <w:instrText xml:space="preserve"> PAGEREF _Toc102048556 \h </w:instrText>
            </w:r>
            <w:r>
              <w:rPr>
                <w:webHidden/>
              </w:rPr>
            </w:r>
            <w:r>
              <w:rPr>
                <w:webHidden/>
              </w:rPr>
              <w:fldChar w:fldCharType="separate"/>
            </w:r>
            <w:r>
              <w:rPr>
                <w:webHidden/>
              </w:rPr>
              <w:t>23</w:t>
            </w:r>
            <w:r>
              <w:rPr>
                <w:webHidden/>
              </w:rPr>
              <w:fldChar w:fldCharType="end"/>
            </w:r>
          </w:hyperlink>
        </w:p>
        <w:p w14:paraId="3365FFBD" w14:textId="707E6920" w:rsidR="008A426F" w:rsidRDefault="008A426F">
          <w:pPr>
            <w:pStyle w:val="TOC3"/>
            <w:rPr>
              <w:rFonts w:eastAsiaTheme="minorEastAsia"/>
              <w:i w:val="0"/>
              <w:iCs w:val="0"/>
            </w:rPr>
          </w:pPr>
          <w:hyperlink w:anchor="_Toc102048557" w:history="1">
            <w:r w:rsidRPr="00F06C78">
              <w:rPr>
                <w:rStyle w:val="Hyperlink"/>
              </w:rPr>
              <w:t>Incorporating VdU and dI into HeLa Cells</w:t>
            </w:r>
            <w:r>
              <w:rPr>
                <w:webHidden/>
              </w:rPr>
              <w:tab/>
            </w:r>
            <w:r>
              <w:rPr>
                <w:webHidden/>
              </w:rPr>
              <w:fldChar w:fldCharType="begin"/>
            </w:r>
            <w:r>
              <w:rPr>
                <w:webHidden/>
              </w:rPr>
              <w:instrText xml:space="preserve"> PAGEREF _Toc102048557 \h </w:instrText>
            </w:r>
            <w:r>
              <w:rPr>
                <w:webHidden/>
              </w:rPr>
            </w:r>
            <w:r>
              <w:rPr>
                <w:webHidden/>
              </w:rPr>
              <w:fldChar w:fldCharType="separate"/>
            </w:r>
            <w:r>
              <w:rPr>
                <w:webHidden/>
              </w:rPr>
              <w:t>24</w:t>
            </w:r>
            <w:r>
              <w:rPr>
                <w:webHidden/>
              </w:rPr>
              <w:fldChar w:fldCharType="end"/>
            </w:r>
          </w:hyperlink>
        </w:p>
        <w:p w14:paraId="6B10B220" w14:textId="03283D65" w:rsidR="008A426F" w:rsidRDefault="008A426F">
          <w:pPr>
            <w:pStyle w:val="TOC3"/>
            <w:rPr>
              <w:rFonts w:eastAsiaTheme="minorEastAsia"/>
              <w:i w:val="0"/>
              <w:iCs w:val="0"/>
            </w:rPr>
          </w:pPr>
          <w:hyperlink w:anchor="_Toc102048558" w:history="1">
            <w:r w:rsidRPr="00F06C78">
              <w:rPr>
                <w:rStyle w:val="Hyperlink"/>
              </w:rPr>
              <w:t>Purification of Conjugated DNA</w:t>
            </w:r>
            <w:r>
              <w:rPr>
                <w:webHidden/>
              </w:rPr>
              <w:tab/>
            </w:r>
            <w:r>
              <w:rPr>
                <w:webHidden/>
              </w:rPr>
              <w:fldChar w:fldCharType="begin"/>
            </w:r>
            <w:r>
              <w:rPr>
                <w:webHidden/>
              </w:rPr>
              <w:instrText xml:space="preserve"> PAGEREF _Toc102048558 \h </w:instrText>
            </w:r>
            <w:r>
              <w:rPr>
                <w:webHidden/>
              </w:rPr>
            </w:r>
            <w:r>
              <w:rPr>
                <w:webHidden/>
              </w:rPr>
              <w:fldChar w:fldCharType="separate"/>
            </w:r>
            <w:r>
              <w:rPr>
                <w:webHidden/>
              </w:rPr>
              <w:t>24</w:t>
            </w:r>
            <w:r>
              <w:rPr>
                <w:webHidden/>
              </w:rPr>
              <w:fldChar w:fldCharType="end"/>
            </w:r>
          </w:hyperlink>
        </w:p>
        <w:p w14:paraId="7A8E65DD" w14:textId="1E571A1C" w:rsidR="008A426F" w:rsidRDefault="008A426F">
          <w:pPr>
            <w:pStyle w:val="TOC3"/>
            <w:rPr>
              <w:rFonts w:eastAsiaTheme="minorEastAsia"/>
              <w:i w:val="0"/>
              <w:iCs w:val="0"/>
            </w:rPr>
          </w:pPr>
          <w:hyperlink w:anchor="_Toc102048559" w:history="1">
            <w:r w:rsidRPr="00F06C78">
              <w:rPr>
                <w:rStyle w:val="Hyperlink"/>
              </w:rPr>
              <w:t>Measuring Incorporation</w:t>
            </w:r>
            <w:r>
              <w:rPr>
                <w:webHidden/>
              </w:rPr>
              <w:tab/>
            </w:r>
            <w:r>
              <w:rPr>
                <w:webHidden/>
              </w:rPr>
              <w:fldChar w:fldCharType="begin"/>
            </w:r>
            <w:r>
              <w:rPr>
                <w:webHidden/>
              </w:rPr>
              <w:instrText xml:space="preserve"> PAGEREF _Toc102048559 \h </w:instrText>
            </w:r>
            <w:r>
              <w:rPr>
                <w:webHidden/>
              </w:rPr>
            </w:r>
            <w:r>
              <w:rPr>
                <w:webHidden/>
              </w:rPr>
              <w:fldChar w:fldCharType="separate"/>
            </w:r>
            <w:r>
              <w:rPr>
                <w:webHidden/>
              </w:rPr>
              <w:t>24</w:t>
            </w:r>
            <w:r>
              <w:rPr>
                <w:webHidden/>
              </w:rPr>
              <w:fldChar w:fldCharType="end"/>
            </w:r>
          </w:hyperlink>
        </w:p>
        <w:p w14:paraId="43E6D362" w14:textId="226D978B" w:rsidR="008A426F" w:rsidRDefault="008A426F">
          <w:pPr>
            <w:pStyle w:val="TOC2"/>
            <w:tabs>
              <w:tab w:val="right" w:leader="dot" w:pos="9350"/>
            </w:tabs>
            <w:rPr>
              <w:rFonts w:eastAsiaTheme="minorEastAsia"/>
              <w:noProof/>
            </w:rPr>
          </w:pPr>
          <w:hyperlink w:anchor="_Toc102048560" w:history="1">
            <w:r w:rsidRPr="00F06C78">
              <w:rPr>
                <w:rStyle w:val="Hyperlink"/>
                <w:noProof/>
              </w:rPr>
              <w:t>Conjugating Dyes onto VdU</w:t>
            </w:r>
            <w:r>
              <w:rPr>
                <w:noProof/>
                <w:webHidden/>
              </w:rPr>
              <w:tab/>
            </w:r>
            <w:r>
              <w:rPr>
                <w:noProof/>
                <w:webHidden/>
              </w:rPr>
              <w:fldChar w:fldCharType="begin"/>
            </w:r>
            <w:r>
              <w:rPr>
                <w:noProof/>
                <w:webHidden/>
              </w:rPr>
              <w:instrText xml:space="preserve"> PAGEREF _Toc102048560 \h </w:instrText>
            </w:r>
            <w:r>
              <w:rPr>
                <w:noProof/>
                <w:webHidden/>
              </w:rPr>
            </w:r>
            <w:r>
              <w:rPr>
                <w:noProof/>
                <w:webHidden/>
              </w:rPr>
              <w:fldChar w:fldCharType="separate"/>
            </w:r>
            <w:r>
              <w:rPr>
                <w:noProof/>
                <w:webHidden/>
              </w:rPr>
              <w:t>25</w:t>
            </w:r>
            <w:r>
              <w:rPr>
                <w:noProof/>
                <w:webHidden/>
              </w:rPr>
              <w:fldChar w:fldCharType="end"/>
            </w:r>
          </w:hyperlink>
        </w:p>
        <w:p w14:paraId="09483970" w14:textId="09C560CF" w:rsidR="008A426F" w:rsidRDefault="008A426F">
          <w:pPr>
            <w:pStyle w:val="TOC3"/>
            <w:rPr>
              <w:rFonts w:eastAsiaTheme="minorEastAsia"/>
              <w:i w:val="0"/>
              <w:iCs w:val="0"/>
            </w:rPr>
          </w:pPr>
          <w:hyperlink w:anchor="_Toc102048561" w:history="1">
            <w:r w:rsidRPr="00F06C78">
              <w:rPr>
                <w:rStyle w:val="Hyperlink"/>
              </w:rPr>
              <w:t>Ideal Conditions for Fluorophore</w:t>
            </w:r>
            <w:r>
              <w:rPr>
                <w:webHidden/>
              </w:rPr>
              <w:tab/>
            </w:r>
            <w:r>
              <w:rPr>
                <w:webHidden/>
              </w:rPr>
              <w:fldChar w:fldCharType="begin"/>
            </w:r>
            <w:r>
              <w:rPr>
                <w:webHidden/>
              </w:rPr>
              <w:instrText xml:space="preserve"> PAGEREF _Toc102048561 \h </w:instrText>
            </w:r>
            <w:r>
              <w:rPr>
                <w:webHidden/>
              </w:rPr>
            </w:r>
            <w:r>
              <w:rPr>
                <w:webHidden/>
              </w:rPr>
              <w:fldChar w:fldCharType="separate"/>
            </w:r>
            <w:r>
              <w:rPr>
                <w:webHidden/>
              </w:rPr>
              <w:t>25</w:t>
            </w:r>
            <w:r>
              <w:rPr>
                <w:webHidden/>
              </w:rPr>
              <w:fldChar w:fldCharType="end"/>
            </w:r>
          </w:hyperlink>
        </w:p>
        <w:p w14:paraId="32D02134" w14:textId="5D1CAC53" w:rsidR="008A426F" w:rsidRDefault="008A426F">
          <w:pPr>
            <w:pStyle w:val="TOC3"/>
            <w:rPr>
              <w:rFonts w:eastAsiaTheme="minorEastAsia"/>
              <w:i w:val="0"/>
              <w:iCs w:val="0"/>
            </w:rPr>
          </w:pPr>
          <w:hyperlink w:anchor="_Toc102048562" w:history="1">
            <w:r w:rsidRPr="00F06C78">
              <w:rPr>
                <w:rStyle w:val="Hyperlink"/>
              </w:rPr>
              <w:t>Ideal Conditions for Dye Conjugation in DNA</w:t>
            </w:r>
            <w:r>
              <w:rPr>
                <w:webHidden/>
              </w:rPr>
              <w:tab/>
            </w:r>
            <w:r>
              <w:rPr>
                <w:webHidden/>
              </w:rPr>
              <w:fldChar w:fldCharType="begin"/>
            </w:r>
            <w:r>
              <w:rPr>
                <w:webHidden/>
              </w:rPr>
              <w:instrText xml:space="preserve"> PAGEREF _Toc102048562 \h </w:instrText>
            </w:r>
            <w:r>
              <w:rPr>
                <w:webHidden/>
              </w:rPr>
            </w:r>
            <w:r>
              <w:rPr>
                <w:webHidden/>
              </w:rPr>
              <w:fldChar w:fldCharType="separate"/>
            </w:r>
            <w:r>
              <w:rPr>
                <w:webHidden/>
              </w:rPr>
              <w:t>25</w:t>
            </w:r>
            <w:r>
              <w:rPr>
                <w:webHidden/>
              </w:rPr>
              <w:fldChar w:fldCharType="end"/>
            </w:r>
          </w:hyperlink>
        </w:p>
        <w:p w14:paraId="7596A579" w14:textId="20C951B0" w:rsidR="008A426F" w:rsidRDefault="008A426F">
          <w:pPr>
            <w:pStyle w:val="TOC1"/>
            <w:tabs>
              <w:tab w:val="right" w:leader="dot" w:pos="9350"/>
            </w:tabs>
            <w:rPr>
              <w:rFonts w:eastAsiaTheme="minorEastAsia"/>
              <w:noProof/>
            </w:rPr>
          </w:pPr>
          <w:hyperlink w:anchor="_Toc102048563" w:history="1">
            <w:r w:rsidRPr="00F06C78">
              <w:rPr>
                <w:rStyle w:val="Hyperlink"/>
                <w:noProof/>
              </w:rPr>
              <w:t>Results</w:t>
            </w:r>
            <w:r>
              <w:rPr>
                <w:noProof/>
                <w:webHidden/>
              </w:rPr>
              <w:tab/>
            </w:r>
            <w:r>
              <w:rPr>
                <w:noProof/>
                <w:webHidden/>
              </w:rPr>
              <w:fldChar w:fldCharType="begin"/>
            </w:r>
            <w:r>
              <w:rPr>
                <w:noProof/>
                <w:webHidden/>
              </w:rPr>
              <w:instrText xml:space="preserve"> PAGEREF _Toc102048563 \h </w:instrText>
            </w:r>
            <w:r>
              <w:rPr>
                <w:noProof/>
                <w:webHidden/>
              </w:rPr>
            </w:r>
            <w:r>
              <w:rPr>
                <w:noProof/>
                <w:webHidden/>
              </w:rPr>
              <w:fldChar w:fldCharType="separate"/>
            </w:r>
            <w:r>
              <w:rPr>
                <w:noProof/>
                <w:webHidden/>
              </w:rPr>
              <w:t>26</w:t>
            </w:r>
            <w:r>
              <w:rPr>
                <w:noProof/>
                <w:webHidden/>
              </w:rPr>
              <w:fldChar w:fldCharType="end"/>
            </w:r>
          </w:hyperlink>
        </w:p>
        <w:p w14:paraId="2F570E24" w14:textId="62AAD830" w:rsidR="008A426F" w:rsidRDefault="008A426F">
          <w:pPr>
            <w:pStyle w:val="TOC3"/>
            <w:rPr>
              <w:rFonts w:eastAsiaTheme="minorEastAsia"/>
              <w:i w:val="0"/>
              <w:iCs w:val="0"/>
            </w:rPr>
          </w:pPr>
          <w:hyperlink w:anchor="_Toc102048564" w:history="1">
            <w:r w:rsidRPr="00F06C78">
              <w:rPr>
                <w:rStyle w:val="Hyperlink"/>
              </w:rPr>
              <w:t>Incorporation of VdU and dI into Human Cells</w:t>
            </w:r>
            <w:r>
              <w:rPr>
                <w:webHidden/>
              </w:rPr>
              <w:tab/>
            </w:r>
            <w:r>
              <w:rPr>
                <w:webHidden/>
              </w:rPr>
              <w:fldChar w:fldCharType="begin"/>
            </w:r>
            <w:r>
              <w:rPr>
                <w:webHidden/>
              </w:rPr>
              <w:instrText xml:space="preserve"> PAGEREF _Toc102048564 \h </w:instrText>
            </w:r>
            <w:r>
              <w:rPr>
                <w:webHidden/>
              </w:rPr>
            </w:r>
            <w:r>
              <w:rPr>
                <w:webHidden/>
              </w:rPr>
              <w:fldChar w:fldCharType="separate"/>
            </w:r>
            <w:r>
              <w:rPr>
                <w:webHidden/>
              </w:rPr>
              <w:t>27</w:t>
            </w:r>
            <w:r>
              <w:rPr>
                <w:webHidden/>
              </w:rPr>
              <w:fldChar w:fldCharType="end"/>
            </w:r>
          </w:hyperlink>
        </w:p>
        <w:p w14:paraId="39C6463B" w14:textId="15A9B924" w:rsidR="008A426F" w:rsidRDefault="008A426F">
          <w:pPr>
            <w:pStyle w:val="TOC3"/>
            <w:rPr>
              <w:rFonts w:eastAsiaTheme="minorEastAsia"/>
              <w:i w:val="0"/>
              <w:iCs w:val="0"/>
            </w:rPr>
          </w:pPr>
          <w:hyperlink w:anchor="_Toc102048565" w:history="1">
            <w:r w:rsidRPr="00F06C78">
              <w:rPr>
                <w:rStyle w:val="Hyperlink"/>
              </w:rPr>
              <w:t>Conjugation of Dyes</w:t>
            </w:r>
            <w:r>
              <w:rPr>
                <w:webHidden/>
              </w:rPr>
              <w:tab/>
            </w:r>
            <w:r>
              <w:rPr>
                <w:webHidden/>
              </w:rPr>
              <w:fldChar w:fldCharType="begin"/>
            </w:r>
            <w:r>
              <w:rPr>
                <w:webHidden/>
              </w:rPr>
              <w:instrText xml:space="preserve"> PAGEREF _Toc102048565 \h </w:instrText>
            </w:r>
            <w:r>
              <w:rPr>
                <w:webHidden/>
              </w:rPr>
            </w:r>
            <w:r>
              <w:rPr>
                <w:webHidden/>
              </w:rPr>
              <w:fldChar w:fldCharType="separate"/>
            </w:r>
            <w:r>
              <w:rPr>
                <w:webHidden/>
              </w:rPr>
              <w:t>28</w:t>
            </w:r>
            <w:r>
              <w:rPr>
                <w:webHidden/>
              </w:rPr>
              <w:fldChar w:fldCharType="end"/>
            </w:r>
          </w:hyperlink>
        </w:p>
        <w:p w14:paraId="06812665" w14:textId="27B259BA" w:rsidR="008A426F" w:rsidRDefault="008A426F">
          <w:pPr>
            <w:pStyle w:val="TOC3"/>
            <w:rPr>
              <w:rFonts w:eastAsiaTheme="minorEastAsia"/>
              <w:i w:val="0"/>
              <w:iCs w:val="0"/>
            </w:rPr>
          </w:pPr>
          <w:hyperlink w:anchor="_Toc102048566" w:history="1">
            <w:r w:rsidRPr="00F06C78">
              <w:rPr>
                <w:rStyle w:val="Hyperlink"/>
              </w:rPr>
              <w:t>Treated dI DNA with Glycosylase</w:t>
            </w:r>
            <w:r>
              <w:rPr>
                <w:webHidden/>
              </w:rPr>
              <w:tab/>
            </w:r>
            <w:r>
              <w:rPr>
                <w:webHidden/>
              </w:rPr>
              <w:fldChar w:fldCharType="begin"/>
            </w:r>
            <w:r>
              <w:rPr>
                <w:webHidden/>
              </w:rPr>
              <w:instrText xml:space="preserve"> PAGEREF _Toc102048566 \h </w:instrText>
            </w:r>
            <w:r>
              <w:rPr>
                <w:webHidden/>
              </w:rPr>
            </w:r>
            <w:r>
              <w:rPr>
                <w:webHidden/>
              </w:rPr>
              <w:fldChar w:fldCharType="separate"/>
            </w:r>
            <w:r>
              <w:rPr>
                <w:webHidden/>
              </w:rPr>
              <w:t>29</w:t>
            </w:r>
            <w:r>
              <w:rPr>
                <w:webHidden/>
              </w:rPr>
              <w:fldChar w:fldCharType="end"/>
            </w:r>
          </w:hyperlink>
        </w:p>
        <w:p w14:paraId="23AAA5D1" w14:textId="78E4FEC4" w:rsidR="008A426F" w:rsidRDefault="008A426F">
          <w:pPr>
            <w:pStyle w:val="TOC1"/>
            <w:tabs>
              <w:tab w:val="right" w:leader="dot" w:pos="9350"/>
            </w:tabs>
            <w:rPr>
              <w:rFonts w:eastAsiaTheme="minorEastAsia"/>
              <w:noProof/>
            </w:rPr>
          </w:pPr>
          <w:hyperlink w:anchor="_Toc102048567" w:history="1">
            <w:r w:rsidRPr="00F06C78">
              <w:rPr>
                <w:rStyle w:val="Hyperlink"/>
                <w:noProof/>
              </w:rPr>
              <w:t>Discussion</w:t>
            </w:r>
            <w:r>
              <w:rPr>
                <w:noProof/>
                <w:webHidden/>
              </w:rPr>
              <w:tab/>
            </w:r>
            <w:r>
              <w:rPr>
                <w:noProof/>
                <w:webHidden/>
              </w:rPr>
              <w:fldChar w:fldCharType="begin"/>
            </w:r>
            <w:r>
              <w:rPr>
                <w:noProof/>
                <w:webHidden/>
              </w:rPr>
              <w:instrText xml:space="preserve"> PAGEREF _Toc102048567 \h </w:instrText>
            </w:r>
            <w:r>
              <w:rPr>
                <w:noProof/>
                <w:webHidden/>
              </w:rPr>
            </w:r>
            <w:r>
              <w:rPr>
                <w:noProof/>
                <w:webHidden/>
              </w:rPr>
              <w:fldChar w:fldCharType="separate"/>
            </w:r>
            <w:r>
              <w:rPr>
                <w:noProof/>
                <w:webHidden/>
              </w:rPr>
              <w:t>30</w:t>
            </w:r>
            <w:r>
              <w:rPr>
                <w:noProof/>
                <w:webHidden/>
              </w:rPr>
              <w:fldChar w:fldCharType="end"/>
            </w:r>
          </w:hyperlink>
        </w:p>
        <w:p w14:paraId="4313C468" w14:textId="1F4F1106" w:rsidR="008A426F" w:rsidRDefault="008A426F" w:rsidP="005549C1">
          <w:pPr>
            <w:pStyle w:val="TOC1"/>
            <w:tabs>
              <w:tab w:val="right" w:leader="dot" w:pos="9350"/>
            </w:tabs>
            <w:rPr>
              <w:rFonts w:eastAsiaTheme="minorEastAsia"/>
              <w:noProof/>
            </w:rPr>
          </w:pPr>
          <w:hyperlink w:anchor="_Toc102048568" w:history="1">
            <w:r w:rsidRPr="00F06C78">
              <w:rPr>
                <w:rStyle w:val="Hyperlink"/>
                <w:noProof/>
              </w:rPr>
              <w:t>Figures</w:t>
            </w:r>
            <w:r>
              <w:rPr>
                <w:noProof/>
                <w:webHidden/>
              </w:rPr>
              <w:tab/>
            </w:r>
            <w:r>
              <w:rPr>
                <w:noProof/>
                <w:webHidden/>
              </w:rPr>
              <w:fldChar w:fldCharType="begin"/>
            </w:r>
            <w:r>
              <w:rPr>
                <w:noProof/>
                <w:webHidden/>
              </w:rPr>
              <w:instrText xml:space="preserve"> PAGEREF _Toc102048568 \h </w:instrText>
            </w:r>
            <w:r>
              <w:rPr>
                <w:noProof/>
                <w:webHidden/>
              </w:rPr>
            </w:r>
            <w:r>
              <w:rPr>
                <w:noProof/>
                <w:webHidden/>
              </w:rPr>
              <w:fldChar w:fldCharType="separate"/>
            </w:r>
            <w:r>
              <w:rPr>
                <w:noProof/>
                <w:webHidden/>
              </w:rPr>
              <w:t>33</w:t>
            </w:r>
            <w:r>
              <w:rPr>
                <w:noProof/>
                <w:webHidden/>
              </w:rPr>
              <w:fldChar w:fldCharType="end"/>
            </w:r>
          </w:hyperlink>
        </w:p>
        <w:p w14:paraId="68629BE7" w14:textId="44FEE9AD" w:rsidR="008A426F" w:rsidRDefault="008A426F">
          <w:pPr>
            <w:pStyle w:val="TOC1"/>
            <w:tabs>
              <w:tab w:val="right" w:leader="dot" w:pos="9350"/>
            </w:tabs>
            <w:rPr>
              <w:rFonts w:eastAsiaTheme="minorEastAsia"/>
              <w:noProof/>
            </w:rPr>
          </w:pPr>
          <w:hyperlink w:anchor="_Toc102048578" w:history="1">
            <w:r w:rsidRPr="00F06C78">
              <w:rPr>
                <w:rStyle w:val="Hyperlink"/>
                <w:noProof/>
              </w:rPr>
              <w:t>References</w:t>
            </w:r>
            <w:r>
              <w:rPr>
                <w:noProof/>
                <w:webHidden/>
              </w:rPr>
              <w:tab/>
            </w:r>
            <w:r>
              <w:rPr>
                <w:noProof/>
                <w:webHidden/>
              </w:rPr>
              <w:fldChar w:fldCharType="begin"/>
            </w:r>
            <w:r>
              <w:rPr>
                <w:noProof/>
                <w:webHidden/>
              </w:rPr>
              <w:instrText xml:space="preserve"> PAGEREF _Toc102048578 \h </w:instrText>
            </w:r>
            <w:r>
              <w:rPr>
                <w:noProof/>
                <w:webHidden/>
              </w:rPr>
            </w:r>
            <w:r>
              <w:rPr>
                <w:noProof/>
                <w:webHidden/>
              </w:rPr>
              <w:fldChar w:fldCharType="separate"/>
            </w:r>
            <w:r>
              <w:rPr>
                <w:noProof/>
                <w:webHidden/>
              </w:rPr>
              <w:t>48</w:t>
            </w:r>
            <w:r>
              <w:rPr>
                <w:noProof/>
                <w:webHidden/>
              </w:rPr>
              <w:fldChar w:fldCharType="end"/>
            </w:r>
          </w:hyperlink>
        </w:p>
        <w:p w14:paraId="2A03C9C1" w14:textId="74F63EF7" w:rsidR="008A426F" w:rsidRDefault="008A426F">
          <w:pPr>
            <w:pStyle w:val="TOC1"/>
            <w:tabs>
              <w:tab w:val="right" w:leader="dot" w:pos="9350"/>
            </w:tabs>
            <w:rPr>
              <w:rFonts w:eastAsiaTheme="minorEastAsia"/>
              <w:noProof/>
            </w:rPr>
          </w:pPr>
          <w:hyperlink w:anchor="_Toc102048579" w:history="1">
            <w:r w:rsidRPr="00F06C78">
              <w:rPr>
                <w:rStyle w:val="Hyperlink"/>
                <w:rFonts w:eastAsia="Times New Roman"/>
                <w:b/>
                <w:bCs/>
                <w:noProof/>
              </w:rPr>
              <w:t>Part 2: Analysis of New York Hospitals</w:t>
            </w:r>
            <w:r>
              <w:rPr>
                <w:noProof/>
                <w:webHidden/>
              </w:rPr>
              <w:tab/>
            </w:r>
            <w:r>
              <w:rPr>
                <w:noProof/>
                <w:webHidden/>
              </w:rPr>
              <w:fldChar w:fldCharType="begin"/>
            </w:r>
            <w:r>
              <w:rPr>
                <w:noProof/>
                <w:webHidden/>
              </w:rPr>
              <w:instrText xml:space="preserve"> PAGEREF _Toc102048579 \h </w:instrText>
            </w:r>
            <w:r>
              <w:rPr>
                <w:noProof/>
                <w:webHidden/>
              </w:rPr>
            </w:r>
            <w:r>
              <w:rPr>
                <w:noProof/>
                <w:webHidden/>
              </w:rPr>
              <w:fldChar w:fldCharType="separate"/>
            </w:r>
            <w:r>
              <w:rPr>
                <w:noProof/>
                <w:webHidden/>
              </w:rPr>
              <w:t>50</w:t>
            </w:r>
            <w:r>
              <w:rPr>
                <w:noProof/>
                <w:webHidden/>
              </w:rPr>
              <w:fldChar w:fldCharType="end"/>
            </w:r>
          </w:hyperlink>
        </w:p>
        <w:p w14:paraId="6E5FCCF9" w14:textId="30DE8CE7" w:rsidR="008A426F" w:rsidRDefault="008A426F">
          <w:pPr>
            <w:pStyle w:val="TOC1"/>
            <w:tabs>
              <w:tab w:val="right" w:leader="dot" w:pos="9350"/>
            </w:tabs>
            <w:rPr>
              <w:rFonts w:eastAsiaTheme="minorEastAsia"/>
              <w:noProof/>
            </w:rPr>
          </w:pPr>
          <w:hyperlink w:anchor="_Toc102048580" w:history="1">
            <w:r w:rsidRPr="00F06C78">
              <w:rPr>
                <w:rStyle w:val="Hyperlink"/>
                <w:noProof/>
              </w:rPr>
              <w:t>Culture of Safety at WPI Biomedical Laboratories</w:t>
            </w:r>
            <w:r>
              <w:rPr>
                <w:noProof/>
                <w:webHidden/>
              </w:rPr>
              <w:tab/>
            </w:r>
            <w:r>
              <w:rPr>
                <w:noProof/>
                <w:webHidden/>
              </w:rPr>
              <w:fldChar w:fldCharType="begin"/>
            </w:r>
            <w:r>
              <w:rPr>
                <w:noProof/>
                <w:webHidden/>
              </w:rPr>
              <w:instrText xml:space="preserve"> PAGEREF _Toc102048580 \h </w:instrText>
            </w:r>
            <w:r>
              <w:rPr>
                <w:noProof/>
                <w:webHidden/>
              </w:rPr>
            </w:r>
            <w:r>
              <w:rPr>
                <w:noProof/>
                <w:webHidden/>
              </w:rPr>
              <w:fldChar w:fldCharType="separate"/>
            </w:r>
            <w:r>
              <w:rPr>
                <w:noProof/>
                <w:webHidden/>
              </w:rPr>
              <w:t>51</w:t>
            </w:r>
            <w:r>
              <w:rPr>
                <w:noProof/>
                <w:webHidden/>
              </w:rPr>
              <w:fldChar w:fldCharType="end"/>
            </w:r>
          </w:hyperlink>
        </w:p>
        <w:p w14:paraId="6C4760D1" w14:textId="5818B063" w:rsidR="008A426F" w:rsidRDefault="008A426F">
          <w:pPr>
            <w:pStyle w:val="TOC1"/>
            <w:tabs>
              <w:tab w:val="right" w:leader="dot" w:pos="9350"/>
            </w:tabs>
            <w:rPr>
              <w:rFonts w:eastAsiaTheme="minorEastAsia"/>
              <w:noProof/>
            </w:rPr>
          </w:pPr>
          <w:hyperlink w:anchor="_Toc102048581" w:history="1">
            <w:r w:rsidRPr="00F06C78">
              <w:rPr>
                <w:rStyle w:val="Hyperlink"/>
                <w:noProof/>
              </w:rPr>
              <w:t>Abstract</w:t>
            </w:r>
            <w:r>
              <w:rPr>
                <w:noProof/>
                <w:webHidden/>
              </w:rPr>
              <w:tab/>
            </w:r>
            <w:r>
              <w:rPr>
                <w:noProof/>
                <w:webHidden/>
              </w:rPr>
              <w:fldChar w:fldCharType="begin"/>
            </w:r>
            <w:r>
              <w:rPr>
                <w:noProof/>
                <w:webHidden/>
              </w:rPr>
              <w:instrText xml:space="preserve"> PAGEREF _Toc102048581 \h </w:instrText>
            </w:r>
            <w:r>
              <w:rPr>
                <w:noProof/>
                <w:webHidden/>
              </w:rPr>
            </w:r>
            <w:r>
              <w:rPr>
                <w:noProof/>
                <w:webHidden/>
              </w:rPr>
              <w:fldChar w:fldCharType="separate"/>
            </w:r>
            <w:r>
              <w:rPr>
                <w:noProof/>
                <w:webHidden/>
              </w:rPr>
              <w:t>51</w:t>
            </w:r>
            <w:r>
              <w:rPr>
                <w:noProof/>
                <w:webHidden/>
              </w:rPr>
              <w:fldChar w:fldCharType="end"/>
            </w:r>
          </w:hyperlink>
        </w:p>
        <w:p w14:paraId="095A3594" w14:textId="6CB5B3D8" w:rsidR="008A426F" w:rsidRDefault="008A426F">
          <w:pPr>
            <w:pStyle w:val="TOC1"/>
            <w:tabs>
              <w:tab w:val="right" w:leader="dot" w:pos="9350"/>
            </w:tabs>
            <w:rPr>
              <w:rFonts w:eastAsiaTheme="minorEastAsia"/>
              <w:noProof/>
            </w:rPr>
          </w:pPr>
          <w:hyperlink w:anchor="_Toc102048582" w:history="1">
            <w:r w:rsidRPr="00F06C78">
              <w:rPr>
                <w:rStyle w:val="Hyperlink"/>
                <w:noProof/>
              </w:rPr>
              <w:t>Chapter 1: Introduction</w:t>
            </w:r>
            <w:r>
              <w:rPr>
                <w:noProof/>
                <w:webHidden/>
              </w:rPr>
              <w:tab/>
            </w:r>
            <w:r>
              <w:rPr>
                <w:noProof/>
                <w:webHidden/>
              </w:rPr>
              <w:fldChar w:fldCharType="begin"/>
            </w:r>
            <w:r>
              <w:rPr>
                <w:noProof/>
                <w:webHidden/>
              </w:rPr>
              <w:instrText xml:space="preserve"> PAGEREF _Toc102048582 \h </w:instrText>
            </w:r>
            <w:r>
              <w:rPr>
                <w:noProof/>
                <w:webHidden/>
              </w:rPr>
            </w:r>
            <w:r>
              <w:rPr>
                <w:noProof/>
                <w:webHidden/>
              </w:rPr>
              <w:fldChar w:fldCharType="separate"/>
            </w:r>
            <w:r>
              <w:rPr>
                <w:noProof/>
                <w:webHidden/>
              </w:rPr>
              <w:t>52</w:t>
            </w:r>
            <w:r>
              <w:rPr>
                <w:noProof/>
                <w:webHidden/>
              </w:rPr>
              <w:fldChar w:fldCharType="end"/>
            </w:r>
          </w:hyperlink>
        </w:p>
        <w:p w14:paraId="64C627C9" w14:textId="39EB755E" w:rsidR="008A426F" w:rsidRDefault="008A426F">
          <w:pPr>
            <w:pStyle w:val="TOC1"/>
            <w:tabs>
              <w:tab w:val="right" w:leader="dot" w:pos="9350"/>
            </w:tabs>
            <w:rPr>
              <w:rFonts w:eastAsiaTheme="minorEastAsia"/>
              <w:noProof/>
            </w:rPr>
          </w:pPr>
          <w:hyperlink w:anchor="_Toc102048583" w:history="1">
            <w:r w:rsidRPr="00F06C78">
              <w:rPr>
                <w:rStyle w:val="Hyperlink"/>
                <w:noProof/>
              </w:rPr>
              <w:t>Chapter 2: Literature Review</w:t>
            </w:r>
            <w:r>
              <w:rPr>
                <w:noProof/>
                <w:webHidden/>
              </w:rPr>
              <w:tab/>
            </w:r>
            <w:r>
              <w:rPr>
                <w:noProof/>
                <w:webHidden/>
              </w:rPr>
              <w:fldChar w:fldCharType="begin"/>
            </w:r>
            <w:r>
              <w:rPr>
                <w:noProof/>
                <w:webHidden/>
              </w:rPr>
              <w:instrText xml:space="preserve"> PAGEREF _Toc102048583 \h </w:instrText>
            </w:r>
            <w:r>
              <w:rPr>
                <w:noProof/>
                <w:webHidden/>
              </w:rPr>
            </w:r>
            <w:r>
              <w:rPr>
                <w:noProof/>
                <w:webHidden/>
              </w:rPr>
              <w:fldChar w:fldCharType="separate"/>
            </w:r>
            <w:r>
              <w:rPr>
                <w:noProof/>
                <w:webHidden/>
              </w:rPr>
              <w:t>53</w:t>
            </w:r>
            <w:r>
              <w:rPr>
                <w:noProof/>
                <w:webHidden/>
              </w:rPr>
              <w:fldChar w:fldCharType="end"/>
            </w:r>
          </w:hyperlink>
        </w:p>
        <w:p w14:paraId="20F12CA1" w14:textId="2FB0E1DA" w:rsidR="008A426F" w:rsidRDefault="008A426F">
          <w:pPr>
            <w:pStyle w:val="TOC2"/>
            <w:tabs>
              <w:tab w:val="right" w:leader="dot" w:pos="9350"/>
            </w:tabs>
            <w:rPr>
              <w:rFonts w:eastAsiaTheme="minorEastAsia"/>
              <w:noProof/>
            </w:rPr>
          </w:pPr>
          <w:hyperlink w:anchor="_Toc102048584" w:history="1">
            <w:r w:rsidRPr="00F06C78">
              <w:rPr>
                <w:rStyle w:val="Hyperlink"/>
                <w:noProof/>
              </w:rPr>
              <w:t>Section 2.1: What is an Occupational Hazard?</w:t>
            </w:r>
            <w:r>
              <w:rPr>
                <w:noProof/>
                <w:webHidden/>
              </w:rPr>
              <w:tab/>
            </w:r>
            <w:r>
              <w:rPr>
                <w:noProof/>
                <w:webHidden/>
              </w:rPr>
              <w:fldChar w:fldCharType="begin"/>
            </w:r>
            <w:r>
              <w:rPr>
                <w:noProof/>
                <w:webHidden/>
              </w:rPr>
              <w:instrText xml:space="preserve"> PAGEREF _Toc102048584 \h </w:instrText>
            </w:r>
            <w:r>
              <w:rPr>
                <w:noProof/>
                <w:webHidden/>
              </w:rPr>
            </w:r>
            <w:r>
              <w:rPr>
                <w:noProof/>
                <w:webHidden/>
              </w:rPr>
              <w:fldChar w:fldCharType="separate"/>
            </w:r>
            <w:r>
              <w:rPr>
                <w:noProof/>
                <w:webHidden/>
              </w:rPr>
              <w:t>53</w:t>
            </w:r>
            <w:r>
              <w:rPr>
                <w:noProof/>
                <w:webHidden/>
              </w:rPr>
              <w:fldChar w:fldCharType="end"/>
            </w:r>
          </w:hyperlink>
        </w:p>
        <w:p w14:paraId="5F49D176" w14:textId="61194CB3" w:rsidR="008A426F" w:rsidRDefault="008A426F">
          <w:pPr>
            <w:pStyle w:val="TOC3"/>
            <w:rPr>
              <w:rFonts w:eastAsiaTheme="minorEastAsia"/>
              <w:i w:val="0"/>
              <w:iCs w:val="0"/>
            </w:rPr>
          </w:pPr>
          <w:hyperlink w:anchor="_Toc102048585" w:history="1">
            <w:r w:rsidRPr="00F06C78">
              <w:rPr>
                <w:rStyle w:val="Hyperlink"/>
              </w:rPr>
              <w:t>Section 2.1.1: DuPont-Making a Toxic Product</w:t>
            </w:r>
            <w:r>
              <w:rPr>
                <w:webHidden/>
              </w:rPr>
              <w:tab/>
            </w:r>
            <w:r>
              <w:rPr>
                <w:webHidden/>
              </w:rPr>
              <w:fldChar w:fldCharType="begin"/>
            </w:r>
            <w:r>
              <w:rPr>
                <w:webHidden/>
              </w:rPr>
              <w:instrText xml:space="preserve"> PAGEREF _Toc102048585 \h </w:instrText>
            </w:r>
            <w:r>
              <w:rPr>
                <w:webHidden/>
              </w:rPr>
            </w:r>
            <w:r>
              <w:rPr>
                <w:webHidden/>
              </w:rPr>
              <w:fldChar w:fldCharType="separate"/>
            </w:r>
            <w:r>
              <w:rPr>
                <w:webHidden/>
              </w:rPr>
              <w:t>53</w:t>
            </w:r>
            <w:r>
              <w:rPr>
                <w:webHidden/>
              </w:rPr>
              <w:fldChar w:fldCharType="end"/>
            </w:r>
          </w:hyperlink>
        </w:p>
        <w:p w14:paraId="2DF585D1" w14:textId="71404098" w:rsidR="008A426F" w:rsidRDefault="008A426F">
          <w:pPr>
            <w:pStyle w:val="TOC3"/>
            <w:rPr>
              <w:rFonts w:eastAsiaTheme="minorEastAsia"/>
              <w:i w:val="0"/>
              <w:iCs w:val="0"/>
            </w:rPr>
          </w:pPr>
          <w:hyperlink w:anchor="_Toc102048586" w:history="1">
            <w:r w:rsidRPr="00F06C78">
              <w:rPr>
                <w:rStyle w:val="Hyperlink"/>
                <w:rFonts w:ascii="Calibri Light" w:hAnsi="Calibri Light" w:cs="Calibri Light"/>
              </w:rPr>
              <w:t>Section 2.1.2: Hazards in the Hospital Environment: Hospital Personnel at Risk</w:t>
            </w:r>
            <w:r>
              <w:rPr>
                <w:webHidden/>
              </w:rPr>
              <w:tab/>
            </w:r>
            <w:r>
              <w:rPr>
                <w:webHidden/>
              </w:rPr>
              <w:fldChar w:fldCharType="begin"/>
            </w:r>
            <w:r>
              <w:rPr>
                <w:webHidden/>
              </w:rPr>
              <w:instrText xml:space="preserve"> PAGEREF _Toc102048586 \h </w:instrText>
            </w:r>
            <w:r>
              <w:rPr>
                <w:webHidden/>
              </w:rPr>
            </w:r>
            <w:r>
              <w:rPr>
                <w:webHidden/>
              </w:rPr>
              <w:fldChar w:fldCharType="separate"/>
            </w:r>
            <w:r>
              <w:rPr>
                <w:webHidden/>
              </w:rPr>
              <w:t>54</w:t>
            </w:r>
            <w:r>
              <w:rPr>
                <w:webHidden/>
              </w:rPr>
              <w:fldChar w:fldCharType="end"/>
            </w:r>
          </w:hyperlink>
        </w:p>
        <w:p w14:paraId="3F1B769F" w14:textId="4625D051" w:rsidR="008A426F" w:rsidRDefault="008A426F">
          <w:pPr>
            <w:pStyle w:val="TOC3"/>
            <w:rPr>
              <w:rFonts w:eastAsiaTheme="minorEastAsia"/>
              <w:i w:val="0"/>
              <w:iCs w:val="0"/>
            </w:rPr>
          </w:pPr>
          <w:hyperlink w:anchor="_Toc102048587" w:history="1">
            <w:r w:rsidRPr="00F06C78">
              <w:rPr>
                <w:rStyle w:val="Hyperlink"/>
              </w:rPr>
              <w:t>Section 2.1.3: Preventative Measures</w:t>
            </w:r>
            <w:r>
              <w:rPr>
                <w:webHidden/>
              </w:rPr>
              <w:tab/>
            </w:r>
            <w:r>
              <w:rPr>
                <w:webHidden/>
              </w:rPr>
              <w:fldChar w:fldCharType="begin"/>
            </w:r>
            <w:r>
              <w:rPr>
                <w:webHidden/>
              </w:rPr>
              <w:instrText xml:space="preserve"> PAGEREF _Toc102048587 \h </w:instrText>
            </w:r>
            <w:r>
              <w:rPr>
                <w:webHidden/>
              </w:rPr>
            </w:r>
            <w:r>
              <w:rPr>
                <w:webHidden/>
              </w:rPr>
              <w:fldChar w:fldCharType="separate"/>
            </w:r>
            <w:r>
              <w:rPr>
                <w:webHidden/>
              </w:rPr>
              <w:t>55</w:t>
            </w:r>
            <w:r>
              <w:rPr>
                <w:webHidden/>
              </w:rPr>
              <w:fldChar w:fldCharType="end"/>
            </w:r>
          </w:hyperlink>
        </w:p>
        <w:p w14:paraId="1BA2877B" w14:textId="05A2EF43" w:rsidR="008A426F" w:rsidRDefault="008A426F">
          <w:pPr>
            <w:pStyle w:val="TOC2"/>
            <w:tabs>
              <w:tab w:val="right" w:leader="dot" w:pos="9350"/>
            </w:tabs>
            <w:rPr>
              <w:rFonts w:eastAsiaTheme="minorEastAsia"/>
              <w:noProof/>
            </w:rPr>
          </w:pPr>
          <w:hyperlink w:anchor="_Toc102048588" w:history="1">
            <w:r w:rsidRPr="00F06C78">
              <w:rPr>
                <w:rStyle w:val="Hyperlink"/>
                <w:noProof/>
              </w:rPr>
              <w:t>Section 2.2: Culture of Safety in Health Care Systems</w:t>
            </w:r>
            <w:r>
              <w:rPr>
                <w:noProof/>
                <w:webHidden/>
              </w:rPr>
              <w:tab/>
            </w:r>
            <w:r>
              <w:rPr>
                <w:noProof/>
                <w:webHidden/>
              </w:rPr>
              <w:fldChar w:fldCharType="begin"/>
            </w:r>
            <w:r>
              <w:rPr>
                <w:noProof/>
                <w:webHidden/>
              </w:rPr>
              <w:instrText xml:space="preserve"> PAGEREF _Toc102048588 \h </w:instrText>
            </w:r>
            <w:r>
              <w:rPr>
                <w:noProof/>
                <w:webHidden/>
              </w:rPr>
            </w:r>
            <w:r>
              <w:rPr>
                <w:noProof/>
                <w:webHidden/>
              </w:rPr>
              <w:fldChar w:fldCharType="separate"/>
            </w:r>
            <w:r>
              <w:rPr>
                <w:noProof/>
                <w:webHidden/>
              </w:rPr>
              <w:t>55</w:t>
            </w:r>
            <w:r>
              <w:rPr>
                <w:noProof/>
                <w:webHidden/>
              </w:rPr>
              <w:fldChar w:fldCharType="end"/>
            </w:r>
          </w:hyperlink>
        </w:p>
        <w:p w14:paraId="45344BBB" w14:textId="07D16317" w:rsidR="008A426F" w:rsidRDefault="008A426F">
          <w:pPr>
            <w:pStyle w:val="TOC3"/>
            <w:rPr>
              <w:rFonts w:eastAsiaTheme="minorEastAsia"/>
              <w:i w:val="0"/>
              <w:iCs w:val="0"/>
            </w:rPr>
          </w:pPr>
          <w:hyperlink w:anchor="_Toc102048589" w:history="1">
            <w:r w:rsidRPr="00F06C78">
              <w:rPr>
                <w:rStyle w:val="Hyperlink"/>
              </w:rPr>
              <w:t>Section 2.2.1: Patient Impact</w:t>
            </w:r>
            <w:r>
              <w:rPr>
                <w:webHidden/>
              </w:rPr>
              <w:tab/>
            </w:r>
            <w:r>
              <w:rPr>
                <w:webHidden/>
              </w:rPr>
              <w:fldChar w:fldCharType="begin"/>
            </w:r>
            <w:r>
              <w:rPr>
                <w:webHidden/>
              </w:rPr>
              <w:instrText xml:space="preserve"> PAGEREF _Toc102048589 \h </w:instrText>
            </w:r>
            <w:r>
              <w:rPr>
                <w:webHidden/>
              </w:rPr>
            </w:r>
            <w:r>
              <w:rPr>
                <w:webHidden/>
              </w:rPr>
              <w:fldChar w:fldCharType="separate"/>
            </w:r>
            <w:r>
              <w:rPr>
                <w:webHidden/>
              </w:rPr>
              <w:t>55</w:t>
            </w:r>
            <w:r>
              <w:rPr>
                <w:webHidden/>
              </w:rPr>
              <w:fldChar w:fldCharType="end"/>
            </w:r>
          </w:hyperlink>
        </w:p>
        <w:p w14:paraId="024A1ACE" w14:textId="18E61D6C" w:rsidR="008A426F" w:rsidRDefault="008A426F">
          <w:pPr>
            <w:pStyle w:val="TOC2"/>
            <w:tabs>
              <w:tab w:val="right" w:leader="dot" w:pos="9350"/>
            </w:tabs>
            <w:rPr>
              <w:rFonts w:eastAsiaTheme="minorEastAsia"/>
              <w:noProof/>
            </w:rPr>
          </w:pPr>
          <w:hyperlink w:anchor="_Toc102048590" w:history="1">
            <w:r w:rsidRPr="00F06C78">
              <w:rPr>
                <w:rStyle w:val="Hyperlink"/>
                <w:noProof/>
              </w:rPr>
              <w:t>Section 2.3: Culture of Safety Process Improvement</w:t>
            </w:r>
            <w:r>
              <w:rPr>
                <w:noProof/>
                <w:webHidden/>
              </w:rPr>
              <w:tab/>
            </w:r>
            <w:r>
              <w:rPr>
                <w:noProof/>
                <w:webHidden/>
              </w:rPr>
              <w:fldChar w:fldCharType="begin"/>
            </w:r>
            <w:r>
              <w:rPr>
                <w:noProof/>
                <w:webHidden/>
              </w:rPr>
              <w:instrText xml:space="preserve"> PAGEREF _Toc102048590 \h </w:instrText>
            </w:r>
            <w:r>
              <w:rPr>
                <w:noProof/>
                <w:webHidden/>
              </w:rPr>
            </w:r>
            <w:r>
              <w:rPr>
                <w:noProof/>
                <w:webHidden/>
              </w:rPr>
              <w:fldChar w:fldCharType="separate"/>
            </w:r>
            <w:r>
              <w:rPr>
                <w:noProof/>
                <w:webHidden/>
              </w:rPr>
              <w:t>56</w:t>
            </w:r>
            <w:r>
              <w:rPr>
                <w:noProof/>
                <w:webHidden/>
              </w:rPr>
              <w:fldChar w:fldCharType="end"/>
            </w:r>
          </w:hyperlink>
        </w:p>
        <w:p w14:paraId="6FF30A74" w14:textId="42C46D0F" w:rsidR="008A426F" w:rsidRDefault="008A426F">
          <w:pPr>
            <w:pStyle w:val="TOC3"/>
            <w:rPr>
              <w:rFonts w:eastAsiaTheme="minorEastAsia"/>
              <w:i w:val="0"/>
              <w:iCs w:val="0"/>
            </w:rPr>
          </w:pPr>
          <w:hyperlink w:anchor="_Toc102048591" w:history="1">
            <w:r w:rsidRPr="00F06C78">
              <w:rPr>
                <w:rStyle w:val="Hyperlink"/>
                <w:rFonts w:ascii="Calibri Light" w:hAnsi="Calibri Light" w:cs="Calibri Light"/>
              </w:rPr>
              <w:t>Section 4.3.1: Barriers to Process Improvement</w:t>
            </w:r>
            <w:r>
              <w:rPr>
                <w:webHidden/>
              </w:rPr>
              <w:tab/>
            </w:r>
            <w:r>
              <w:rPr>
                <w:webHidden/>
              </w:rPr>
              <w:fldChar w:fldCharType="begin"/>
            </w:r>
            <w:r>
              <w:rPr>
                <w:webHidden/>
              </w:rPr>
              <w:instrText xml:space="preserve"> PAGEREF _Toc102048591 \h </w:instrText>
            </w:r>
            <w:r>
              <w:rPr>
                <w:webHidden/>
              </w:rPr>
            </w:r>
            <w:r>
              <w:rPr>
                <w:webHidden/>
              </w:rPr>
              <w:fldChar w:fldCharType="separate"/>
            </w:r>
            <w:r>
              <w:rPr>
                <w:webHidden/>
              </w:rPr>
              <w:t>56</w:t>
            </w:r>
            <w:r>
              <w:rPr>
                <w:webHidden/>
              </w:rPr>
              <w:fldChar w:fldCharType="end"/>
            </w:r>
          </w:hyperlink>
        </w:p>
        <w:p w14:paraId="59E4F821" w14:textId="2F4C393D" w:rsidR="008A426F" w:rsidRDefault="008A426F">
          <w:pPr>
            <w:pStyle w:val="TOC1"/>
            <w:tabs>
              <w:tab w:val="right" w:leader="dot" w:pos="9350"/>
            </w:tabs>
            <w:rPr>
              <w:rFonts w:eastAsiaTheme="minorEastAsia"/>
              <w:noProof/>
            </w:rPr>
          </w:pPr>
          <w:hyperlink w:anchor="_Toc102048592" w:history="1">
            <w:r w:rsidRPr="00F06C78">
              <w:rPr>
                <w:rStyle w:val="Hyperlink"/>
                <w:noProof/>
              </w:rPr>
              <w:t>Chapter 3: Research Design</w:t>
            </w:r>
            <w:r>
              <w:rPr>
                <w:noProof/>
                <w:webHidden/>
              </w:rPr>
              <w:tab/>
            </w:r>
            <w:r>
              <w:rPr>
                <w:noProof/>
                <w:webHidden/>
              </w:rPr>
              <w:fldChar w:fldCharType="begin"/>
            </w:r>
            <w:r>
              <w:rPr>
                <w:noProof/>
                <w:webHidden/>
              </w:rPr>
              <w:instrText xml:space="preserve"> PAGEREF _Toc102048592 \h </w:instrText>
            </w:r>
            <w:r>
              <w:rPr>
                <w:noProof/>
                <w:webHidden/>
              </w:rPr>
            </w:r>
            <w:r>
              <w:rPr>
                <w:noProof/>
                <w:webHidden/>
              </w:rPr>
              <w:fldChar w:fldCharType="separate"/>
            </w:r>
            <w:r>
              <w:rPr>
                <w:noProof/>
                <w:webHidden/>
              </w:rPr>
              <w:t>57</w:t>
            </w:r>
            <w:r>
              <w:rPr>
                <w:noProof/>
                <w:webHidden/>
              </w:rPr>
              <w:fldChar w:fldCharType="end"/>
            </w:r>
          </w:hyperlink>
        </w:p>
        <w:p w14:paraId="401001CD" w14:textId="3EDF57CA" w:rsidR="008A426F" w:rsidRDefault="008A426F">
          <w:pPr>
            <w:pStyle w:val="TOC2"/>
            <w:tabs>
              <w:tab w:val="right" w:leader="dot" w:pos="9350"/>
            </w:tabs>
            <w:rPr>
              <w:rFonts w:eastAsiaTheme="minorEastAsia"/>
              <w:noProof/>
            </w:rPr>
          </w:pPr>
          <w:hyperlink w:anchor="_Toc102048593" w:history="1">
            <w:r w:rsidRPr="00F06C78">
              <w:rPr>
                <w:rStyle w:val="Hyperlink"/>
                <w:noProof/>
              </w:rPr>
              <w:t>Section 3.1: Analysis of Patient Outcomes</w:t>
            </w:r>
            <w:r>
              <w:rPr>
                <w:noProof/>
                <w:webHidden/>
              </w:rPr>
              <w:tab/>
            </w:r>
            <w:r>
              <w:rPr>
                <w:noProof/>
                <w:webHidden/>
              </w:rPr>
              <w:fldChar w:fldCharType="begin"/>
            </w:r>
            <w:r>
              <w:rPr>
                <w:noProof/>
                <w:webHidden/>
              </w:rPr>
              <w:instrText xml:space="preserve"> PAGEREF _Toc102048593 \h </w:instrText>
            </w:r>
            <w:r>
              <w:rPr>
                <w:noProof/>
                <w:webHidden/>
              </w:rPr>
            </w:r>
            <w:r>
              <w:rPr>
                <w:noProof/>
                <w:webHidden/>
              </w:rPr>
              <w:fldChar w:fldCharType="separate"/>
            </w:r>
            <w:r>
              <w:rPr>
                <w:noProof/>
                <w:webHidden/>
              </w:rPr>
              <w:t>57</w:t>
            </w:r>
            <w:r>
              <w:rPr>
                <w:noProof/>
                <w:webHidden/>
              </w:rPr>
              <w:fldChar w:fldCharType="end"/>
            </w:r>
          </w:hyperlink>
        </w:p>
        <w:p w14:paraId="4121D9F5" w14:textId="58303A44" w:rsidR="008A426F" w:rsidRDefault="008A426F">
          <w:pPr>
            <w:pStyle w:val="TOC3"/>
            <w:rPr>
              <w:rFonts w:eastAsiaTheme="minorEastAsia"/>
              <w:i w:val="0"/>
              <w:iCs w:val="0"/>
            </w:rPr>
          </w:pPr>
          <w:hyperlink w:anchor="_Toc102048594" w:history="1">
            <w:r w:rsidRPr="00F06C78">
              <w:rPr>
                <w:rStyle w:val="Hyperlink"/>
              </w:rPr>
              <w:t>Section 3.1.1: Rating Hospitals-Safety Grade and Data Robustness</w:t>
            </w:r>
            <w:r>
              <w:rPr>
                <w:webHidden/>
              </w:rPr>
              <w:tab/>
            </w:r>
            <w:r>
              <w:rPr>
                <w:webHidden/>
              </w:rPr>
              <w:fldChar w:fldCharType="begin"/>
            </w:r>
            <w:r>
              <w:rPr>
                <w:webHidden/>
              </w:rPr>
              <w:instrText xml:space="preserve"> PAGEREF _Toc102048594 \h </w:instrText>
            </w:r>
            <w:r>
              <w:rPr>
                <w:webHidden/>
              </w:rPr>
            </w:r>
            <w:r>
              <w:rPr>
                <w:webHidden/>
              </w:rPr>
              <w:fldChar w:fldCharType="separate"/>
            </w:r>
            <w:r>
              <w:rPr>
                <w:webHidden/>
              </w:rPr>
              <w:t>57</w:t>
            </w:r>
            <w:r>
              <w:rPr>
                <w:webHidden/>
              </w:rPr>
              <w:fldChar w:fldCharType="end"/>
            </w:r>
          </w:hyperlink>
        </w:p>
        <w:p w14:paraId="4AB36698" w14:textId="6D0C8179" w:rsidR="008A426F" w:rsidRDefault="008A426F">
          <w:pPr>
            <w:pStyle w:val="TOC2"/>
            <w:tabs>
              <w:tab w:val="right" w:leader="dot" w:pos="9350"/>
            </w:tabs>
            <w:rPr>
              <w:rFonts w:eastAsiaTheme="minorEastAsia"/>
              <w:noProof/>
            </w:rPr>
          </w:pPr>
          <w:hyperlink w:anchor="_Toc102048595" w:history="1">
            <w:r w:rsidRPr="00F06C78">
              <w:rPr>
                <w:rStyle w:val="Hyperlink"/>
                <w:noProof/>
              </w:rPr>
              <w:t>Section 3.2: Determining Culture of Safety Through Occupational Hazards</w:t>
            </w:r>
            <w:r>
              <w:rPr>
                <w:noProof/>
                <w:webHidden/>
              </w:rPr>
              <w:tab/>
            </w:r>
            <w:r>
              <w:rPr>
                <w:noProof/>
                <w:webHidden/>
              </w:rPr>
              <w:fldChar w:fldCharType="begin"/>
            </w:r>
            <w:r>
              <w:rPr>
                <w:noProof/>
                <w:webHidden/>
              </w:rPr>
              <w:instrText xml:space="preserve"> PAGEREF _Toc102048595 \h </w:instrText>
            </w:r>
            <w:r>
              <w:rPr>
                <w:noProof/>
                <w:webHidden/>
              </w:rPr>
            </w:r>
            <w:r>
              <w:rPr>
                <w:noProof/>
                <w:webHidden/>
              </w:rPr>
              <w:fldChar w:fldCharType="separate"/>
            </w:r>
            <w:r>
              <w:rPr>
                <w:noProof/>
                <w:webHidden/>
              </w:rPr>
              <w:t>59</w:t>
            </w:r>
            <w:r>
              <w:rPr>
                <w:noProof/>
                <w:webHidden/>
              </w:rPr>
              <w:fldChar w:fldCharType="end"/>
            </w:r>
          </w:hyperlink>
        </w:p>
        <w:p w14:paraId="5F739FD9" w14:textId="755E729B" w:rsidR="008A426F" w:rsidRDefault="008A426F">
          <w:pPr>
            <w:pStyle w:val="TOC2"/>
            <w:tabs>
              <w:tab w:val="right" w:leader="dot" w:pos="9350"/>
            </w:tabs>
            <w:rPr>
              <w:rFonts w:eastAsiaTheme="minorEastAsia"/>
              <w:noProof/>
            </w:rPr>
          </w:pPr>
          <w:hyperlink w:anchor="_Toc102048596" w:history="1">
            <w:r w:rsidRPr="00F06C78">
              <w:rPr>
                <w:rStyle w:val="Hyperlink"/>
                <w:noProof/>
              </w:rPr>
              <w:t>Section 3.3: Correlation Factors Between Occupational and Patient Safety</w:t>
            </w:r>
            <w:r>
              <w:rPr>
                <w:noProof/>
                <w:webHidden/>
              </w:rPr>
              <w:tab/>
            </w:r>
            <w:r>
              <w:rPr>
                <w:noProof/>
                <w:webHidden/>
              </w:rPr>
              <w:fldChar w:fldCharType="begin"/>
            </w:r>
            <w:r>
              <w:rPr>
                <w:noProof/>
                <w:webHidden/>
              </w:rPr>
              <w:instrText xml:space="preserve"> PAGEREF _Toc102048596 \h </w:instrText>
            </w:r>
            <w:r>
              <w:rPr>
                <w:noProof/>
                <w:webHidden/>
              </w:rPr>
            </w:r>
            <w:r>
              <w:rPr>
                <w:noProof/>
                <w:webHidden/>
              </w:rPr>
              <w:fldChar w:fldCharType="separate"/>
            </w:r>
            <w:r>
              <w:rPr>
                <w:noProof/>
                <w:webHidden/>
              </w:rPr>
              <w:t>60</w:t>
            </w:r>
            <w:r>
              <w:rPr>
                <w:noProof/>
                <w:webHidden/>
              </w:rPr>
              <w:fldChar w:fldCharType="end"/>
            </w:r>
          </w:hyperlink>
        </w:p>
        <w:p w14:paraId="71C81E5F" w14:textId="16219E9E" w:rsidR="008A426F" w:rsidRDefault="008A426F">
          <w:pPr>
            <w:pStyle w:val="TOC3"/>
            <w:rPr>
              <w:rFonts w:eastAsiaTheme="minorEastAsia"/>
              <w:i w:val="0"/>
              <w:iCs w:val="0"/>
            </w:rPr>
          </w:pPr>
          <w:hyperlink w:anchor="_Toc102048597" w:history="1">
            <w:r w:rsidRPr="00F06C78">
              <w:rPr>
                <w:rStyle w:val="Hyperlink"/>
              </w:rPr>
              <w:t>Section 3.3.1: Zip codes</w:t>
            </w:r>
            <w:r>
              <w:rPr>
                <w:webHidden/>
              </w:rPr>
              <w:tab/>
            </w:r>
            <w:r>
              <w:rPr>
                <w:webHidden/>
              </w:rPr>
              <w:fldChar w:fldCharType="begin"/>
            </w:r>
            <w:r>
              <w:rPr>
                <w:webHidden/>
              </w:rPr>
              <w:instrText xml:space="preserve"> PAGEREF _Toc102048597 \h </w:instrText>
            </w:r>
            <w:r>
              <w:rPr>
                <w:webHidden/>
              </w:rPr>
            </w:r>
            <w:r>
              <w:rPr>
                <w:webHidden/>
              </w:rPr>
              <w:fldChar w:fldCharType="separate"/>
            </w:r>
            <w:r>
              <w:rPr>
                <w:webHidden/>
              </w:rPr>
              <w:t>60</w:t>
            </w:r>
            <w:r>
              <w:rPr>
                <w:webHidden/>
              </w:rPr>
              <w:fldChar w:fldCharType="end"/>
            </w:r>
          </w:hyperlink>
        </w:p>
        <w:p w14:paraId="25421AD9" w14:textId="6AF91164" w:rsidR="008A426F" w:rsidRDefault="008A426F">
          <w:pPr>
            <w:pStyle w:val="TOC3"/>
            <w:rPr>
              <w:rFonts w:eastAsiaTheme="minorEastAsia"/>
              <w:i w:val="0"/>
              <w:iCs w:val="0"/>
            </w:rPr>
          </w:pPr>
          <w:hyperlink w:anchor="_Toc102048598" w:history="1">
            <w:r w:rsidRPr="00F06C78">
              <w:rPr>
                <w:rStyle w:val="Hyperlink"/>
              </w:rPr>
              <w:t>Section 3.3.2: Population</w:t>
            </w:r>
            <w:r>
              <w:rPr>
                <w:webHidden/>
              </w:rPr>
              <w:tab/>
            </w:r>
            <w:r>
              <w:rPr>
                <w:webHidden/>
              </w:rPr>
              <w:fldChar w:fldCharType="begin"/>
            </w:r>
            <w:r>
              <w:rPr>
                <w:webHidden/>
              </w:rPr>
              <w:instrText xml:space="preserve"> PAGEREF _Toc102048598 \h </w:instrText>
            </w:r>
            <w:r>
              <w:rPr>
                <w:webHidden/>
              </w:rPr>
            </w:r>
            <w:r>
              <w:rPr>
                <w:webHidden/>
              </w:rPr>
              <w:fldChar w:fldCharType="separate"/>
            </w:r>
            <w:r>
              <w:rPr>
                <w:webHidden/>
              </w:rPr>
              <w:t>60</w:t>
            </w:r>
            <w:r>
              <w:rPr>
                <w:webHidden/>
              </w:rPr>
              <w:fldChar w:fldCharType="end"/>
            </w:r>
          </w:hyperlink>
        </w:p>
        <w:p w14:paraId="740CC5E1" w14:textId="566F6609" w:rsidR="008A426F" w:rsidRDefault="008A426F">
          <w:pPr>
            <w:pStyle w:val="TOC3"/>
            <w:rPr>
              <w:rFonts w:eastAsiaTheme="minorEastAsia"/>
              <w:i w:val="0"/>
              <w:iCs w:val="0"/>
            </w:rPr>
          </w:pPr>
          <w:hyperlink w:anchor="_Toc102048599" w:history="1">
            <w:r w:rsidRPr="00F06C78">
              <w:rPr>
                <w:rStyle w:val="Hyperlink"/>
              </w:rPr>
              <w:t>Section 3.3.3: Number of Beds</w:t>
            </w:r>
            <w:r>
              <w:rPr>
                <w:webHidden/>
              </w:rPr>
              <w:tab/>
            </w:r>
            <w:r>
              <w:rPr>
                <w:webHidden/>
              </w:rPr>
              <w:fldChar w:fldCharType="begin"/>
            </w:r>
            <w:r>
              <w:rPr>
                <w:webHidden/>
              </w:rPr>
              <w:instrText xml:space="preserve"> PAGEREF _Toc102048599 \h </w:instrText>
            </w:r>
            <w:r>
              <w:rPr>
                <w:webHidden/>
              </w:rPr>
            </w:r>
            <w:r>
              <w:rPr>
                <w:webHidden/>
              </w:rPr>
              <w:fldChar w:fldCharType="separate"/>
            </w:r>
            <w:r>
              <w:rPr>
                <w:webHidden/>
              </w:rPr>
              <w:t>60</w:t>
            </w:r>
            <w:r>
              <w:rPr>
                <w:webHidden/>
              </w:rPr>
              <w:fldChar w:fldCharType="end"/>
            </w:r>
          </w:hyperlink>
        </w:p>
        <w:p w14:paraId="29103AC8" w14:textId="0733E7EC" w:rsidR="008A426F" w:rsidRDefault="008A426F">
          <w:pPr>
            <w:pStyle w:val="TOC3"/>
            <w:rPr>
              <w:rFonts w:eastAsiaTheme="minorEastAsia"/>
              <w:i w:val="0"/>
              <w:iCs w:val="0"/>
            </w:rPr>
          </w:pPr>
          <w:hyperlink w:anchor="_Toc102048600" w:history="1">
            <w:r w:rsidRPr="00F06C78">
              <w:rPr>
                <w:rStyle w:val="Hyperlink"/>
              </w:rPr>
              <w:t>Section 3.3.4: Statistical Analysis</w:t>
            </w:r>
            <w:r>
              <w:rPr>
                <w:webHidden/>
              </w:rPr>
              <w:tab/>
            </w:r>
            <w:r>
              <w:rPr>
                <w:webHidden/>
              </w:rPr>
              <w:fldChar w:fldCharType="begin"/>
            </w:r>
            <w:r>
              <w:rPr>
                <w:webHidden/>
              </w:rPr>
              <w:instrText xml:space="preserve"> PAGEREF _Toc102048600 \h </w:instrText>
            </w:r>
            <w:r>
              <w:rPr>
                <w:webHidden/>
              </w:rPr>
            </w:r>
            <w:r>
              <w:rPr>
                <w:webHidden/>
              </w:rPr>
              <w:fldChar w:fldCharType="separate"/>
            </w:r>
            <w:r>
              <w:rPr>
                <w:webHidden/>
              </w:rPr>
              <w:t>61</w:t>
            </w:r>
            <w:r>
              <w:rPr>
                <w:webHidden/>
              </w:rPr>
              <w:fldChar w:fldCharType="end"/>
            </w:r>
          </w:hyperlink>
        </w:p>
        <w:p w14:paraId="6EABCFD0" w14:textId="5FC66F58" w:rsidR="008A426F" w:rsidRDefault="008A426F">
          <w:pPr>
            <w:pStyle w:val="TOC2"/>
            <w:tabs>
              <w:tab w:val="right" w:leader="dot" w:pos="9350"/>
            </w:tabs>
            <w:rPr>
              <w:rFonts w:eastAsiaTheme="minorEastAsia"/>
              <w:noProof/>
            </w:rPr>
          </w:pPr>
          <w:hyperlink w:anchor="_Toc102048601" w:history="1">
            <w:r w:rsidRPr="00F06C78">
              <w:rPr>
                <w:rStyle w:val="Hyperlink"/>
                <w:noProof/>
              </w:rPr>
              <w:t>Section 3.4: Limitations</w:t>
            </w:r>
            <w:r>
              <w:rPr>
                <w:noProof/>
                <w:webHidden/>
              </w:rPr>
              <w:tab/>
            </w:r>
            <w:r>
              <w:rPr>
                <w:noProof/>
                <w:webHidden/>
              </w:rPr>
              <w:fldChar w:fldCharType="begin"/>
            </w:r>
            <w:r>
              <w:rPr>
                <w:noProof/>
                <w:webHidden/>
              </w:rPr>
              <w:instrText xml:space="preserve"> PAGEREF _Toc102048601 \h </w:instrText>
            </w:r>
            <w:r>
              <w:rPr>
                <w:noProof/>
                <w:webHidden/>
              </w:rPr>
            </w:r>
            <w:r>
              <w:rPr>
                <w:noProof/>
                <w:webHidden/>
              </w:rPr>
              <w:fldChar w:fldCharType="separate"/>
            </w:r>
            <w:r>
              <w:rPr>
                <w:noProof/>
                <w:webHidden/>
              </w:rPr>
              <w:t>61</w:t>
            </w:r>
            <w:r>
              <w:rPr>
                <w:noProof/>
                <w:webHidden/>
              </w:rPr>
              <w:fldChar w:fldCharType="end"/>
            </w:r>
          </w:hyperlink>
        </w:p>
        <w:p w14:paraId="50505180" w14:textId="160154DE" w:rsidR="008A426F" w:rsidRDefault="008A426F">
          <w:pPr>
            <w:pStyle w:val="TOC1"/>
            <w:tabs>
              <w:tab w:val="right" w:leader="dot" w:pos="9350"/>
            </w:tabs>
            <w:rPr>
              <w:rFonts w:eastAsiaTheme="minorEastAsia"/>
              <w:noProof/>
            </w:rPr>
          </w:pPr>
          <w:hyperlink w:anchor="_Toc102048602" w:history="1">
            <w:r w:rsidRPr="00F06C78">
              <w:rPr>
                <w:rStyle w:val="Hyperlink"/>
                <w:noProof/>
              </w:rPr>
              <w:t>Chapter 4: Results</w:t>
            </w:r>
            <w:r>
              <w:rPr>
                <w:noProof/>
                <w:webHidden/>
              </w:rPr>
              <w:tab/>
            </w:r>
            <w:r>
              <w:rPr>
                <w:noProof/>
                <w:webHidden/>
              </w:rPr>
              <w:fldChar w:fldCharType="begin"/>
            </w:r>
            <w:r>
              <w:rPr>
                <w:noProof/>
                <w:webHidden/>
              </w:rPr>
              <w:instrText xml:space="preserve"> PAGEREF _Toc102048602 \h </w:instrText>
            </w:r>
            <w:r>
              <w:rPr>
                <w:noProof/>
                <w:webHidden/>
              </w:rPr>
            </w:r>
            <w:r>
              <w:rPr>
                <w:noProof/>
                <w:webHidden/>
              </w:rPr>
              <w:fldChar w:fldCharType="separate"/>
            </w:r>
            <w:r>
              <w:rPr>
                <w:noProof/>
                <w:webHidden/>
              </w:rPr>
              <w:t>62</w:t>
            </w:r>
            <w:r>
              <w:rPr>
                <w:noProof/>
                <w:webHidden/>
              </w:rPr>
              <w:fldChar w:fldCharType="end"/>
            </w:r>
          </w:hyperlink>
        </w:p>
        <w:p w14:paraId="34538DEB" w14:textId="2CFA6DA1" w:rsidR="008A426F" w:rsidRDefault="008A426F">
          <w:pPr>
            <w:pStyle w:val="TOC1"/>
            <w:tabs>
              <w:tab w:val="right" w:leader="dot" w:pos="9350"/>
            </w:tabs>
            <w:rPr>
              <w:rFonts w:eastAsiaTheme="minorEastAsia"/>
              <w:noProof/>
            </w:rPr>
          </w:pPr>
          <w:hyperlink w:anchor="_Toc102048603" w:history="1">
            <w:r w:rsidRPr="00F06C78">
              <w:rPr>
                <w:rStyle w:val="Hyperlink"/>
                <w:noProof/>
              </w:rPr>
              <w:t>Chapter 5: Discussion</w:t>
            </w:r>
            <w:r>
              <w:rPr>
                <w:noProof/>
                <w:webHidden/>
              </w:rPr>
              <w:tab/>
            </w:r>
            <w:r>
              <w:rPr>
                <w:noProof/>
                <w:webHidden/>
              </w:rPr>
              <w:fldChar w:fldCharType="begin"/>
            </w:r>
            <w:r>
              <w:rPr>
                <w:noProof/>
                <w:webHidden/>
              </w:rPr>
              <w:instrText xml:space="preserve"> PAGEREF _Toc102048603 \h </w:instrText>
            </w:r>
            <w:r>
              <w:rPr>
                <w:noProof/>
                <w:webHidden/>
              </w:rPr>
            </w:r>
            <w:r>
              <w:rPr>
                <w:noProof/>
                <w:webHidden/>
              </w:rPr>
              <w:fldChar w:fldCharType="separate"/>
            </w:r>
            <w:r>
              <w:rPr>
                <w:noProof/>
                <w:webHidden/>
              </w:rPr>
              <w:t>64</w:t>
            </w:r>
            <w:r>
              <w:rPr>
                <w:noProof/>
                <w:webHidden/>
              </w:rPr>
              <w:fldChar w:fldCharType="end"/>
            </w:r>
          </w:hyperlink>
        </w:p>
        <w:p w14:paraId="047831DD" w14:textId="3AB4D44C" w:rsidR="008A426F" w:rsidRDefault="008A426F">
          <w:pPr>
            <w:pStyle w:val="TOC1"/>
            <w:tabs>
              <w:tab w:val="right" w:leader="dot" w:pos="9350"/>
            </w:tabs>
            <w:rPr>
              <w:rFonts w:eastAsiaTheme="minorEastAsia"/>
              <w:noProof/>
            </w:rPr>
          </w:pPr>
          <w:hyperlink w:anchor="_Toc102048604" w:history="1">
            <w:r w:rsidRPr="00F06C78">
              <w:rPr>
                <w:rStyle w:val="Hyperlink"/>
                <w:rFonts w:eastAsia="Times New Roman"/>
                <w:noProof/>
              </w:rPr>
              <w:t>References</w:t>
            </w:r>
            <w:r>
              <w:rPr>
                <w:noProof/>
                <w:webHidden/>
              </w:rPr>
              <w:tab/>
            </w:r>
            <w:r>
              <w:rPr>
                <w:noProof/>
                <w:webHidden/>
              </w:rPr>
              <w:fldChar w:fldCharType="begin"/>
            </w:r>
            <w:r>
              <w:rPr>
                <w:noProof/>
                <w:webHidden/>
              </w:rPr>
              <w:instrText xml:space="preserve"> PAGEREF _Toc102048604 \h </w:instrText>
            </w:r>
            <w:r>
              <w:rPr>
                <w:noProof/>
                <w:webHidden/>
              </w:rPr>
            </w:r>
            <w:r>
              <w:rPr>
                <w:noProof/>
                <w:webHidden/>
              </w:rPr>
              <w:fldChar w:fldCharType="separate"/>
            </w:r>
            <w:r>
              <w:rPr>
                <w:noProof/>
                <w:webHidden/>
              </w:rPr>
              <w:t>66</w:t>
            </w:r>
            <w:r>
              <w:rPr>
                <w:noProof/>
                <w:webHidden/>
              </w:rPr>
              <w:fldChar w:fldCharType="end"/>
            </w:r>
          </w:hyperlink>
        </w:p>
        <w:p w14:paraId="121D9553" w14:textId="3256DD73" w:rsidR="008A426F" w:rsidRDefault="008A426F">
          <w:pPr>
            <w:pStyle w:val="TOC2"/>
            <w:tabs>
              <w:tab w:val="right" w:leader="dot" w:pos="9350"/>
            </w:tabs>
            <w:rPr>
              <w:rFonts w:eastAsiaTheme="minorEastAsia"/>
              <w:noProof/>
            </w:rPr>
          </w:pPr>
          <w:hyperlink w:anchor="_Toc102048605" w:history="1">
            <w:r w:rsidRPr="00F06C78">
              <w:rPr>
                <w:rStyle w:val="Hyperlink"/>
                <w:noProof/>
              </w:rPr>
              <w:t>Appendix A: Summary of terms and definitions utilized</w:t>
            </w:r>
            <w:r>
              <w:rPr>
                <w:noProof/>
                <w:webHidden/>
              </w:rPr>
              <w:tab/>
            </w:r>
            <w:r>
              <w:rPr>
                <w:noProof/>
                <w:webHidden/>
              </w:rPr>
              <w:fldChar w:fldCharType="begin"/>
            </w:r>
            <w:r>
              <w:rPr>
                <w:noProof/>
                <w:webHidden/>
              </w:rPr>
              <w:instrText xml:space="preserve"> PAGEREF _Toc102048605 \h </w:instrText>
            </w:r>
            <w:r>
              <w:rPr>
                <w:noProof/>
                <w:webHidden/>
              </w:rPr>
            </w:r>
            <w:r>
              <w:rPr>
                <w:noProof/>
                <w:webHidden/>
              </w:rPr>
              <w:fldChar w:fldCharType="separate"/>
            </w:r>
            <w:r>
              <w:rPr>
                <w:noProof/>
                <w:webHidden/>
              </w:rPr>
              <w:t>68</w:t>
            </w:r>
            <w:r>
              <w:rPr>
                <w:noProof/>
                <w:webHidden/>
              </w:rPr>
              <w:fldChar w:fldCharType="end"/>
            </w:r>
          </w:hyperlink>
        </w:p>
        <w:p w14:paraId="13F640CF" w14:textId="10658D5F" w:rsidR="008A426F" w:rsidRDefault="008A426F">
          <w:pPr>
            <w:pStyle w:val="TOC2"/>
            <w:tabs>
              <w:tab w:val="right" w:leader="dot" w:pos="9350"/>
            </w:tabs>
            <w:rPr>
              <w:rFonts w:eastAsiaTheme="minorEastAsia"/>
              <w:noProof/>
            </w:rPr>
          </w:pPr>
          <w:hyperlink w:anchor="_Toc102048606" w:history="1">
            <w:r w:rsidRPr="00F06C78">
              <w:rPr>
                <w:rStyle w:val="Hyperlink"/>
                <w:noProof/>
              </w:rPr>
              <w:t>Appendix B: The common procedures defined in the Medicare website (Medicare.gov, 2022)</w:t>
            </w:r>
            <w:r>
              <w:rPr>
                <w:noProof/>
                <w:webHidden/>
              </w:rPr>
              <w:tab/>
            </w:r>
            <w:r>
              <w:rPr>
                <w:noProof/>
                <w:webHidden/>
              </w:rPr>
              <w:fldChar w:fldCharType="begin"/>
            </w:r>
            <w:r>
              <w:rPr>
                <w:noProof/>
                <w:webHidden/>
              </w:rPr>
              <w:instrText xml:space="preserve"> PAGEREF _Toc102048606 \h </w:instrText>
            </w:r>
            <w:r>
              <w:rPr>
                <w:noProof/>
                <w:webHidden/>
              </w:rPr>
            </w:r>
            <w:r>
              <w:rPr>
                <w:noProof/>
                <w:webHidden/>
              </w:rPr>
              <w:fldChar w:fldCharType="separate"/>
            </w:r>
            <w:r>
              <w:rPr>
                <w:noProof/>
                <w:webHidden/>
              </w:rPr>
              <w:t>68</w:t>
            </w:r>
            <w:r>
              <w:rPr>
                <w:noProof/>
                <w:webHidden/>
              </w:rPr>
              <w:fldChar w:fldCharType="end"/>
            </w:r>
          </w:hyperlink>
        </w:p>
        <w:p w14:paraId="4BF49E9D" w14:textId="18E33B97" w:rsidR="00270456" w:rsidRDefault="00574159" w:rsidP="00270456">
          <w:r>
            <w:rPr>
              <w:b/>
              <w:bCs/>
              <w:noProof/>
            </w:rPr>
            <w:lastRenderedPageBreak/>
            <w:fldChar w:fldCharType="end"/>
          </w:r>
        </w:p>
      </w:sdtContent>
    </w:sdt>
    <w:p w14:paraId="178B7E2B" w14:textId="7A4BC320" w:rsidR="0034209D" w:rsidRPr="00C36961" w:rsidRDefault="0034209D" w:rsidP="0034209D">
      <w:pPr>
        <w:pStyle w:val="Heading1"/>
        <w:rPr>
          <w:rFonts w:ascii="Times New Roman" w:hAnsi="Times New Roman" w:cs="Times New Roman"/>
        </w:rPr>
      </w:pPr>
      <w:bookmarkStart w:id="1" w:name="_Toc102048532"/>
      <w:r w:rsidRPr="00C36961">
        <w:rPr>
          <w:rFonts w:ascii="Times New Roman" w:hAnsi="Times New Roman" w:cs="Times New Roman"/>
        </w:rPr>
        <w:t>Acknowledgments</w:t>
      </w:r>
      <w:bookmarkEnd w:id="0"/>
      <w:bookmarkEnd w:id="1"/>
      <w:r w:rsidRPr="00C36961">
        <w:rPr>
          <w:rFonts w:ascii="Times New Roman" w:hAnsi="Times New Roman" w:cs="Times New Roman"/>
        </w:rPr>
        <w:t> </w:t>
      </w:r>
    </w:p>
    <w:p w14:paraId="46508A40" w14:textId="4573C3B8" w:rsidR="0034209D" w:rsidRPr="0034209D" w:rsidRDefault="0034209D" w:rsidP="00424C0E">
      <w:pPr>
        <w:pStyle w:val="NormalWeb"/>
        <w:spacing w:before="0" w:beforeAutospacing="0" w:after="0" w:afterAutospacing="0" w:line="276" w:lineRule="auto"/>
      </w:pPr>
      <w:r w:rsidRPr="0034209D">
        <w:rPr>
          <w:color w:val="000000"/>
        </w:rPr>
        <w:t xml:space="preserve">The success of my Major Qualifying Project: New Nucleosides for DNA Visualization would not have been possible without the supervision of my advisor, Professor Nicholas </w:t>
      </w:r>
      <w:proofErr w:type="spellStart"/>
      <w:r w:rsidRPr="0034209D">
        <w:rPr>
          <w:color w:val="000000"/>
        </w:rPr>
        <w:t>Rhind</w:t>
      </w:r>
      <w:proofErr w:type="spellEnd"/>
      <w:r w:rsidRPr="0034209D">
        <w:rPr>
          <w:color w:val="000000"/>
        </w:rPr>
        <w:t xml:space="preserve"> (Professor at University of Massachusetts Medical School) and Professor Destin Heilman</w:t>
      </w:r>
      <w:r w:rsidR="00397BC9">
        <w:rPr>
          <w:color w:val="000000"/>
        </w:rPr>
        <w:t xml:space="preserve"> (WPI)</w:t>
      </w:r>
      <w:r w:rsidRPr="0034209D">
        <w:rPr>
          <w:color w:val="000000"/>
        </w:rPr>
        <w:t xml:space="preserve">. In addition, I would like to thank the entirety of the </w:t>
      </w:r>
      <w:proofErr w:type="spellStart"/>
      <w:r w:rsidRPr="0034209D">
        <w:rPr>
          <w:color w:val="000000"/>
        </w:rPr>
        <w:t>Rhind</w:t>
      </w:r>
      <w:proofErr w:type="spellEnd"/>
      <w:r w:rsidRPr="0034209D">
        <w:rPr>
          <w:color w:val="000000"/>
        </w:rPr>
        <w:t xml:space="preserve"> Group, specifically Wendy Kam, for aiding me in the lab and PhD candidate Adam Hedger from the Watts Labs for training and assisting me with HPLC.</w:t>
      </w:r>
      <w:r>
        <w:t xml:space="preserve"> </w:t>
      </w:r>
      <w:r w:rsidRPr="0034209D">
        <w:rPr>
          <w:color w:val="000000"/>
        </w:rPr>
        <w:t xml:space="preserve">For my Major Qualifying Project: Assessing Culture of Safety in New York Hospitals, I would like to thank Professor </w:t>
      </w:r>
      <w:proofErr w:type="spellStart"/>
      <w:r w:rsidRPr="0034209D">
        <w:rPr>
          <w:color w:val="000000"/>
        </w:rPr>
        <w:t>Y</w:t>
      </w:r>
      <w:r w:rsidR="0092115B">
        <w:rPr>
          <w:color w:val="000000"/>
        </w:rPr>
        <w:t>u</w:t>
      </w:r>
      <w:r w:rsidRPr="0034209D">
        <w:rPr>
          <w:color w:val="000000"/>
        </w:rPr>
        <w:t>nus</w:t>
      </w:r>
      <w:proofErr w:type="spellEnd"/>
      <w:r w:rsidRPr="0034209D">
        <w:rPr>
          <w:color w:val="000000"/>
        </w:rPr>
        <w:t xml:space="preserve"> </w:t>
      </w:r>
      <w:proofErr w:type="spellStart"/>
      <w:r w:rsidRPr="0034209D">
        <w:rPr>
          <w:color w:val="000000"/>
        </w:rPr>
        <w:t>Telliel</w:t>
      </w:r>
      <w:proofErr w:type="spellEnd"/>
      <w:r w:rsidRPr="0034209D">
        <w:rPr>
          <w:color w:val="000000"/>
        </w:rPr>
        <w:t xml:space="preserve"> and Professor Brenton Faber for co-advising my project, as well as my partner Liza </w:t>
      </w:r>
      <w:proofErr w:type="spellStart"/>
      <w:r w:rsidRPr="0034209D">
        <w:rPr>
          <w:color w:val="000000"/>
        </w:rPr>
        <w:t>Hote</w:t>
      </w:r>
      <w:proofErr w:type="spellEnd"/>
      <w:r w:rsidRPr="0034209D">
        <w:rPr>
          <w:color w:val="000000"/>
        </w:rPr>
        <w:t xml:space="preserve"> for collaborating with me on </w:t>
      </w:r>
      <w:r w:rsidR="00397BC9">
        <w:rPr>
          <w:color w:val="000000"/>
        </w:rPr>
        <w:t>the</w:t>
      </w:r>
      <w:r w:rsidRPr="0034209D">
        <w:rPr>
          <w:color w:val="000000"/>
        </w:rPr>
        <w:t xml:space="preserve"> project.</w:t>
      </w:r>
    </w:p>
    <w:p w14:paraId="2F55693C" w14:textId="1AD48CCC"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672A35E3" w14:textId="5962461E"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2A28C205" w14:textId="78A7FA7A"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5F411128" w14:textId="5E3C08AA"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4025597E" w14:textId="73E71AA6"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03F65762" w14:textId="1C82EE7F"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660431D6" w14:textId="49F8C552"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67B6A7D0" w14:textId="6550CC46"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67B980FA" w14:textId="5295F812"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5E5AB10A" w14:textId="5846B90E"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2C36218F" w14:textId="33B22BC3"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5545B640" w14:textId="6E6D89FE"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7B53BFD1" w14:textId="56F2C084"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461A5BD9" w14:textId="77777777" w:rsidR="0034209D" w:rsidRPr="00C36961" w:rsidRDefault="0034209D" w:rsidP="0034209D">
      <w:pPr>
        <w:pStyle w:val="Heading1"/>
        <w:rPr>
          <w:rFonts w:ascii="Times New Roman" w:hAnsi="Times New Roman" w:cs="Times New Roman"/>
        </w:rPr>
      </w:pPr>
      <w:bookmarkStart w:id="2" w:name="_Toc101972218"/>
      <w:bookmarkStart w:id="3" w:name="_Toc102048533"/>
      <w:r w:rsidRPr="00C36961">
        <w:rPr>
          <w:rFonts w:ascii="Times New Roman" w:hAnsi="Times New Roman" w:cs="Times New Roman"/>
        </w:rPr>
        <w:lastRenderedPageBreak/>
        <w:t>Forward</w:t>
      </w:r>
      <w:bookmarkEnd w:id="2"/>
      <w:bookmarkEnd w:id="3"/>
    </w:p>
    <w:p w14:paraId="7C426FC4" w14:textId="2FFC3A03" w:rsidR="0034209D" w:rsidRPr="0034209D" w:rsidRDefault="0034209D" w:rsidP="00424C0E">
      <w:pPr>
        <w:pStyle w:val="NormalWeb"/>
        <w:spacing w:before="0" w:beforeAutospacing="0" w:after="0" w:afterAutospacing="0" w:line="276" w:lineRule="auto"/>
        <w:rPr>
          <w:color w:val="000000"/>
        </w:rPr>
      </w:pPr>
      <w:r w:rsidRPr="0034209D">
        <w:rPr>
          <w:color w:val="000000"/>
        </w:rPr>
        <w:t xml:space="preserve">This joint Major Qualifying Project consisted of two parts: a biochemistry research project focused on investigating novel nucleoside analogs for DNA visualization and a professional writing study which created and analyzed a quantitative study of the culture of the safety of New York Hospitals. My biochemistry project was performed at the University of Massachusetts Medical School with Professor Nick </w:t>
      </w:r>
      <w:proofErr w:type="spellStart"/>
      <w:r w:rsidRPr="0034209D">
        <w:rPr>
          <w:color w:val="000000"/>
        </w:rPr>
        <w:t>Rhind</w:t>
      </w:r>
      <w:proofErr w:type="spellEnd"/>
      <w:r w:rsidRPr="0034209D">
        <w:rPr>
          <w:color w:val="000000"/>
        </w:rPr>
        <w:t xml:space="preserve">, while I worked in tandem with my professional writing partner, Liza </w:t>
      </w:r>
      <w:proofErr w:type="spellStart"/>
      <w:r w:rsidRPr="0034209D">
        <w:rPr>
          <w:color w:val="000000"/>
        </w:rPr>
        <w:t>Hote</w:t>
      </w:r>
      <w:proofErr w:type="spellEnd"/>
      <w:r w:rsidRPr="0034209D">
        <w:rPr>
          <w:color w:val="000000"/>
        </w:rPr>
        <w:t xml:space="preserve"> to access the culture of safeties relationship with patient safety. These projects were joined through an analysis of the impact culture of safety can have on laboratory research and overall safety in the lab environment.</w:t>
      </w:r>
    </w:p>
    <w:p w14:paraId="7A4A4560" w14:textId="0E546E3C" w:rsidR="0034209D" w:rsidRDefault="0034209D" w:rsidP="0034209D">
      <w:pPr>
        <w:pStyle w:val="NormalWeb"/>
        <w:spacing w:before="0" w:beforeAutospacing="0" w:after="0" w:afterAutospacing="0"/>
        <w:rPr>
          <w:rFonts w:ascii="Arial" w:hAnsi="Arial" w:cs="Arial"/>
          <w:color w:val="000000"/>
          <w:sz w:val="22"/>
          <w:szCs w:val="22"/>
        </w:rPr>
      </w:pPr>
    </w:p>
    <w:p w14:paraId="5815BF19" w14:textId="555110FA" w:rsidR="0034209D" w:rsidRDefault="0034209D" w:rsidP="0034209D">
      <w:pPr>
        <w:pStyle w:val="NormalWeb"/>
        <w:spacing w:before="0" w:beforeAutospacing="0" w:after="0" w:afterAutospacing="0"/>
        <w:rPr>
          <w:rFonts w:ascii="Arial" w:hAnsi="Arial" w:cs="Arial"/>
          <w:color w:val="000000"/>
          <w:sz w:val="22"/>
          <w:szCs w:val="22"/>
        </w:rPr>
      </w:pPr>
    </w:p>
    <w:p w14:paraId="22051A11" w14:textId="38C5D073" w:rsidR="0034209D" w:rsidRDefault="0034209D" w:rsidP="0034209D">
      <w:pPr>
        <w:pStyle w:val="NormalWeb"/>
        <w:spacing w:before="0" w:beforeAutospacing="0" w:after="0" w:afterAutospacing="0"/>
        <w:rPr>
          <w:rFonts w:ascii="Arial" w:hAnsi="Arial" w:cs="Arial"/>
          <w:color w:val="000000"/>
          <w:sz w:val="22"/>
          <w:szCs w:val="22"/>
        </w:rPr>
      </w:pPr>
    </w:p>
    <w:p w14:paraId="17DA9031" w14:textId="36DA550F" w:rsidR="0034209D" w:rsidRDefault="0034209D" w:rsidP="0034209D">
      <w:pPr>
        <w:pStyle w:val="NormalWeb"/>
        <w:spacing w:before="0" w:beforeAutospacing="0" w:after="0" w:afterAutospacing="0"/>
        <w:rPr>
          <w:rFonts w:ascii="Arial" w:hAnsi="Arial" w:cs="Arial"/>
          <w:color w:val="000000"/>
          <w:sz w:val="22"/>
          <w:szCs w:val="22"/>
        </w:rPr>
      </w:pPr>
    </w:p>
    <w:p w14:paraId="70FDEF32" w14:textId="58CE4DB2" w:rsidR="0034209D" w:rsidRDefault="0034209D" w:rsidP="0034209D">
      <w:pPr>
        <w:pStyle w:val="NormalWeb"/>
        <w:spacing w:before="0" w:beforeAutospacing="0" w:after="0" w:afterAutospacing="0"/>
        <w:rPr>
          <w:rFonts w:ascii="Arial" w:hAnsi="Arial" w:cs="Arial"/>
          <w:color w:val="000000"/>
          <w:sz w:val="22"/>
          <w:szCs w:val="22"/>
        </w:rPr>
      </w:pPr>
    </w:p>
    <w:p w14:paraId="7D877B4E" w14:textId="519250C7" w:rsidR="0034209D" w:rsidRDefault="0034209D" w:rsidP="0034209D">
      <w:pPr>
        <w:pStyle w:val="NormalWeb"/>
        <w:spacing w:before="0" w:beforeAutospacing="0" w:after="0" w:afterAutospacing="0"/>
        <w:rPr>
          <w:rFonts w:ascii="Arial" w:hAnsi="Arial" w:cs="Arial"/>
          <w:color w:val="000000"/>
          <w:sz w:val="22"/>
          <w:szCs w:val="22"/>
        </w:rPr>
      </w:pPr>
    </w:p>
    <w:p w14:paraId="7531BC6E" w14:textId="1016B582" w:rsidR="0034209D" w:rsidRDefault="0034209D" w:rsidP="0034209D">
      <w:pPr>
        <w:pStyle w:val="NormalWeb"/>
        <w:spacing w:before="0" w:beforeAutospacing="0" w:after="0" w:afterAutospacing="0"/>
        <w:rPr>
          <w:rFonts w:ascii="Arial" w:hAnsi="Arial" w:cs="Arial"/>
          <w:color w:val="000000"/>
          <w:sz w:val="22"/>
          <w:szCs w:val="22"/>
        </w:rPr>
      </w:pPr>
    </w:p>
    <w:p w14:paraId="523E0548" w14:textId="305D78D1" w:rsidR="0034209D" w:rsidRDefault="0034209D" w:rsidP="0034209D">
      <w:pPr>
        <w:pStyle w:val="NormalWeb"/>
        <w:spacing w:before="0" w:beforeAutospacing="0" w:after="0" w:afterAutospacing="0"/>
        <w:rPr>
          <w:rFonts w:ascii="Arial" w:hAnsi="Arial" w:cs="Arial"/>
          <w:color w:val="000000"/>
          <w:sz w:val="22"/>
          <w:szCs w:val="22"/>
        </w:rPr>
      </w:pPr>
    </w:p>
    <w:p w14:paraId="0CF0C5B7" w14:textId="0BDDC484" w:rsidR="0034209D" w:rsidRDefault="0034209D" w:rsidP="0034209D">
      <w:pPr>
        <w:pStyle w:val="NormalWeb"/>
        <w:spacing w:before="0" w:beforeAutospacing="0" w:after="0" w:afterAutospacing="0"/>
        <w:rPr>
          <w:rFonts w:ascii="Arial" w:hAnsi="Arial" w:cs="Arial"/>
          <w:color w:val="000000"/>
          <w:sz w:val="22"/>
          <w:szCs w:val="22"/>
        </w:rPr>
      </w:pPr>
    </w:p>
    <w:p w14:paraId="55C8B6EC" w14:textId="101E53B4" w:rsidR="0034209D" w:rsidRDefault="0034209D" w:rsidP="0034209D">
      <w:pPr>
        <w:pStyle w:val="NormalWeb"/>
        <w:spacing w:before="0" w:beforeAutospacing="0" w:after="0" w:afterAutospacing="0"/>
        <w:rPr>
          <w:rFonts w:ascii="Arial" w:hAnsi="Arial" w:cs="Arial"/>
          <w:color w:val="000000"/>
          <w:sz w:val="22"/>
          <w:szCs w:val="22"/>
        </w:rPr>
      </w:pPr>
    </w:p>
    <w:p w14:paraId="767DDD4E" w14:textId="559FED06" w:rsidR="0034209D" w:rsidRDefault="0034209D" w:rsidP="0034209D">
      <w:pPr>
        <w:pStyle w:val="NormalWeb"/>
        <w:spacing w:before="0" w:beforeAutospacing="0" w:after="0" w:afterAutospacing="0"/>
        <w:rPr>
          <w:rFonts w:ascii="Arial" w:hAnsi="Arial" w:cs="Arial"/>
          <w:color w:val="000000"/>
          <w:sz w:val="22"/>
          <w:szCs w:val="22"/>
        </w:rPr>
      </w:pPr>
    </w:p>
    <w:p w14:paraId="7354EA66" w14:textId="1BB1487D" w:rsidR="0034209D" w:rsidRDefault="0034209D" w:rsidP="0034209D">
      <w:pPr>
        <w:pStyle w:val="NormalWeb"/>
        <w:spacing w:before="0" w:beforeAutospacing="0" w:after="0" w:afterAutospacing="0"/>
        <w:rPr>
          <w:rFonts w:ascii="Arial" w:hAnsi="Arial" w:cs="Arial"/>
          <w:color w:val="000000"/>
          <w:sz w:val="22"/>
          <w:szCs w:val="22"/>
        </w:rPr>
      </w:pPr>
    </w:p>
    <w:p w14:paraId="7B369994" w14:textId="78AECF7A" w:rsidR="0034209D" w:rsidRDefault="0034209D" w:rsidP="0034209D">
      <w:pPr>
        <w:pStyle w:val="NormalWeb"/>
        <w:spacing w:before="0" w:beforeAutospacing="0" w:after="0" w:afterAutospacing="0"/>
        <w:rPr>
          <w:rFonts w:ascii="Arial" w:hAnsi="Arial" w:cs="Arial"/>
          <w:color w:val="000000"/>
          <w:sz w:val="22"/>
          <w:szCs w:val="22"/>
        </w:rPr>
      </w:pPr>
    </w:p>
    <w:p w14:paraId="655A8051" w14:textId="5BF98D26" w:rsidR="0034209D" w:rsidRDefault="0034209D" w:rsidP="0034209D">
      <w:pPr>
        <w:pStyle w:val="NormalWeb"/>
        <w:spacing w:before="0" w:beforeAutospacing="0" w:after="0" w:afterAutospacing="0"/>
        <w:rPr>
          <w:rFonts w:ascii="Arial" w:hAnsi="Arial" w:cs="Arial"/>
          <w:color w:val="000000"/>
          <w:sz w:val="22"/>
          <w:szCs w:val="22"/>
        </w:rPr>
      </w:pPr>
    </w:p>
    <w:p w14:paraId="0FA8CFF6" w14:textId="5A3ECC15" w:rsidR="0034209D" w:rsidRDefault="0034209D" w:rsidP="0034209D">
      <w:pPr>
        <w:pStyle w:val="NormalWeb"/>
        <w:spacing w:before="0" w:beforeAutospacing="0" w:after="0" w:afterAutospacing="0"/>
        <w:rPr>
          <w:rFonts w:ascii="Arial" w:hAnsi="Arial" w:cs="Arial"/>
          <w:color w:val="000000"/>
          <w:sz w:val="22"/>
          <w:szCs w:val="22"/>
        </w:rPr>
      </w:pPr>
    </w:p>
    <w:p w14:paraId="362838EA" w14:textId="401C4971" w:rsidR="0034209D" w:rsidRDefault="0034209D" w:rsidP="0034209D">
      <w:pPr>
        <w:pStyle w:val="NormalWeb"/>
        <w:spacing w:before="0" w:beforeAutospacing="0" w:after="0" w:afterAutospacing="0"/>
        <w:rPr>
          <w:rFonts w:ascii="Arial" w:hAnsi="Arial" w:cs="Arial"/>
          <w:color w:val="000000"/>
          <w:sz w:val="22"/>
          <w:szCs w:val="22"/>
        </w:rPr>
      </w:pPr>
    </w:p>
    <w:p w14:paraId="183A4520" w14:textId="0E7AA4A2" w:rsidR="0034209D" w:rsidRDefault="0034209D" w:rsidP="0034209D">
      <w:pPr>
        <w:pStyle w:val="NormalWeb"/>
        <w:spacing w:before="0" w:beforeAutospacing="0" w:after="0" w:afterAutospacing="0"/>
        <w:rPr>
          <w:rFonts w:ascii="Arial" w:hAnsi="Arial" w:cs="Arial"/>
          <w:color w:val="000000"/>
          <w:sz w:val="22"/>
          <w:szCs w:val="22"/>
        </w:rPr>
      </w:pPr>
    </w:p>
    <w:p w14:paraId="120AA3AF" w14:textId="3D363955" w:rsidR="0034209D" w:rsidRDefault="0034209D" w:rsidP="0034209D">
      <w:pPr>
        <w:pStyle w:val="NormalWeb"/>
        <w:spacing w:before="0" w:beforeAutospacing="0" w:after="0" w:afterAutospacing="0"/>
        <w:rPr>
          <w:rFonts w:ascii="Arial" w:hAnsi="Arial" w:cs="Arial"/>
          <w:color w:val="000000"/>
          <w:sz w:val="22"/>
          <w:szCs w:val="22"/>
        </w:rPr>
      </w:pPr>
    </w:p>
    <w:p w14:paraId="644233AA" w14:textId="5AC4ED07" w:rsidR="0034209D" w:rsidRDefault="0034209D" w:rsidP="0034209D">
      <w:pPr>
        <w:pStyle w:val="NormalWeb"/>
        <w:spacing w:before="0" w:beforeAutospacing="0" w:after="0" w:afterAutospacing="0"/>
        <w:rPr>
          <w:rFonts w:ascii="Arial" w:hAnsi="Arial" w:cs="Arial"/>
          <w:color w:val="000000"/>
          <w:sz w:val="22"/>
          <w:szCs w:val="22"/>
        </w:rPr>
      </w:pPr>
    </w:p>
    <w:p w14:paraId="4FC61170" w14:textId="7C97E51A" w:rsidR="0034209D" w:rsidRDefault="0034209D" w:rsidP="0034209D">
      <w:pPr>
        <w:pStyle w:val="NormalWeb"/>
        <w:spacing w:before="0" w:beforeAutospacing="0" w:after="0" w:afterAutospacing="0"/>
        <w:rPr>
          <w:rFonts w:ascii="Arial" w:hAnsi="Arial" w:cs="Arial"/>
          <w:color w:val="000000"/>
          <w:sz w:val="22"/>
          <w:szCs w:val="22"/>
        </w:rPr>
      </w:pPr>
    </w:p>
    <w:p w14:paraId="6A3D1A77" w14:textId="452D4988" w:rsidR="0034209D" w:rsidRDefault="0034209D" w:rsidP="0034209D">
      <w:pPr>
        <w:pStyle w:val="NormalWeb"/>
        <w:spacing w:before="0" w:beforeAutospacing="0" w:after="0" w:afterAutospacing="0"/>
        <w:rPr>
          <w:rFonts w:ascii="Arial" w:hAnsi="Arial" w:cs="Arial"/>
          <w:color w:val="000000"/>
          <w:sz w:val="22"/>
          <w:szCs w:val="22"/>
        </w:rPr>
      </w:pPr>
    </w:p>
    <w:p w14:paraId="756ABB5F" w14:textId="1AA32AF8" w:rsidR="0034209D" w:rsidRDefault="0034209D" w:rsidP="0034209D">
      <w:pPr>
        <w:pStyle w:val="NormalWeb"/>
        <w:spacing w:before="0" w:beforeAutospacing="0" w:after="0" w:afterAutospacing="0"/>
        <w:rPr>
          <w:rFonts w:ascii="Arial" w:hAnsi="Arial" w:cs="Arial"/>
          <w:color w:val="000000"/>
          <w:sz w:val="22"/>
          <w:szCs w:val="22"/>
        </w:rPr>
      </w:pPr>
    </w:p>
    <w:p w14:paraId="00B41E86" w14:textId="1903B786" w:rsidR="0034209D" w:rsidRDefault="0034209D" w:rsidP="0034209D">
      <w:pPr>
        <w:pStyle w:val="NormalWeb"/>
        <w:spacing w:before="0" w:beforeAutospacing="0" w:after="0" w:afterAutospacing="0"/>
        <w:rPr>
          <w:rFonts w:ascii="Arial" w:hAnsi="Arial" w:cs="Arial"/>
          <w:color w:val="000000"/>
          <w:sz w:val="22"/>
          <w:szCs w:val="22"/>
        </w:rPr>
      </w:pPr>
    </w:p>
    <w:p w14:paraId="3EA4560A" w14:textId="4185921D" w:rsidR="0034209D" w:rsidRDefault="0034209D" w:rsidP="0034209D">
      <w:pPr>
        <w:pStyle w:val="NormalWeb"/>
        <w:spacing w:before="0" w:beforeAutospacing="0" w:after="0" w:afterAutospacing="0"/>
        <w:rPr>
          <w:rFonts w:ascii="Arial" w:hAnsi="Arial" w:cs="Arial"/>
          <w:color w:val="000000"/>
          <w:sz w:val="22"/>
          <w:szCs w:val="22"/>
        </w:rPr>
      </w:pPr>
    </w:p>
    <w:p w14:paraId="3C4347D7" w14:textId="7C27CCC2" w:rsidR="0034209D" w:rsidRDefault="0034209D" w:rsidP="0034209D">
      <w:pPr>
        <w:pStyle w:val="NormalWeb"/>
        <w:spacing w:before="0" w:beforeAutospacing="0" w:after="0" w:afterAutospacing="0"/>
        <w:rPr>
          <w:rFonts w:ascii="Arial" w:hAnsi="Arial" w:cs="Arial"/>
          <w:color w:val="000000"/>
          <w:sz w:val="22"/>
          <w:szCs w:val="22"/>
        </w:rPr>
      </w:pPr>
    </w:p>
    <w:p w14:paraId="1DE71D86" w14:textId="466458A6" w:rsidR="0034209D" w:rsidRDefault="0034209D" w:rsidP="0034209D">
      <w:pPr>
        <w:pStyle w:val="NormalWeb"/>
        <w:spacing w:before="0" w:beforeAutospacing="0" w:after="0" w:afterAutospacing="0"/>
        <w:rPr>
          <w:rFonts w:ascii="Arial" w:hAnsi="Arial" w:cs="Arial"/>
          <w:color w:val="000000"/>
          <w:sz w:val="22"/>
          <w:szCs w:val="22"/>
        </w:rPr>
      </w:pPr>
    </w:p>
    <w:p w14:paraId="12A9B046" w14:textId="12DC2A59" w:rsidR="0034209D" w:rsidRDefault="0034209D" w:rsidP="0034209D">
      <w:pPr>
        <w:pStyle w:val="NormalWeb"/>
        <w:spacing w:before="0" w:beforeAutospacing="0" w:after="0" w:afterAutospacing="0"/>
        <w:rPr>
          <w:rFonts w:ascii="Arial" w:hAnsi="Arial" w:cs="Arial"/>
          <w:color w:val="000000"/>
          <w:sz w:val="22"/>
          <w:szCs w:val="22"/>
        </w:rPr>
      </w:pPr>
    </w:p>
    <w:p w14:paraId="235165A9" w14:textId="04B5C942" w:rsidR="0034209D" w:rsidRDefault="0034209D" w:rsidP="0034209D">
      <w:pPr>
        <w:pStyle w:val="NormalWeb"/>
        <w:spacing w:before="0" w:beforeAutospacing="0" w:after="0" w:afterAutospacing="0"/>
        <w:rPr>
          <w:rFonts w:ascii="Arial" w:hAnsi="Arial" w:cs="Arial"/>
          <w:color w:val="000000"/>
          <w:sz w:val="22"/>
          <w:szCs w:val="22"/>
        </w:rPr>
      </w:pPr>
    </w:p>
    <w:p w14:paraId="4CF699AE" w14:textId="2B728499" w:rsidR="0034209D" w:rsidRDefault="0034209D" w:rsidP="0034209D">
      <w:pPr>
        <w:pStyle w:val="NormalWeb"/>
        <w:spacing w:before="0" w:beforeAutospacing="0" w:after="0" w:afterAutospacing="0"/>
        <w:rPr>
          <w:rFonts w:ascii="Arial" w:hAnsi="Arial" w:cs="Arial"/>
          <w:color w:val="000000"/>
          <w:sz w:val="22"/>
          <w:szCs w:val="22"/>
        </w:rPr>
      </w:pPr>
    </w:p>
    <w:p w14:paraId="6355B9FF" w14:textId="6ACD525C" w:rsidR="0034209D" w:rsidRDefault="0034209D" w:rsidP="0034209D">
      <w:pPr>
        <w:pStyle w:val="NormalWeb"/>
        <w:spacing w:before="0" w:beforeAutospacing="0" w:after="0" w:afterAutospacing="0"/>
        <w:rPr>
          <w:rFonts w:ascii="Arial" w:hAnsi="Arial" w:cs="Arial"/>
          <w:color w:val="000000"/>
          <w:sz w:val="22"/>
          <w:szCs w:val="22"/>
        </w:rPr>
      </w:pPr>
    </w:p>
    <w:p w14:paraId="61DD94BF" w14:textId="0CA05103" w:rsidR="0034209D" w:rsidRDefault="0034209D" w:rsidP="0034209D">
      <w:pPr>
        <w:pStyle w:val="NormalWeb"/>
        <w:spacing w:before="0" w:beforeAutospacing="0" w:after="0" w:afterAutospacing="0"/>
        <w:rPr>
          <w:rFonts w:ascii="Arial" w:hAnsi="Arial" w:cs="Arial"/>
          <w:color w:val="000000"/>
          <w:sz w:val="22"/>
          <w:szCs w:val="22"/>
        </w:rPr>
      </w:pPr>
    </w:p>
    <w:p w14:paraId="7D508999" w14:textId="15BBA48D" w:rsidR="0034209D" w:rsidRDefault="0034209D" w:rsidP="0034209D">
      <w:pPr>
        <w:pStyle w:val="NormalWeb"/>
        <w:spacing w:before="0" w:beforeAutospacing="0" w:after="0" w:afterAutospacing="0"/>
        <w:rPr>
          <w:rFonts w:ascii="Arial" w:hAnsi="Arial" w:cs="Arial"/>
          <w:color w:val="000000"/>
          <w:sz w:val="22"/>
          <w:szCs w:val="22"/>
        </w:rPr>
      </w:pPr>
    </w:p>
    <w:p w14:paraId="5AA47356" w14:textId="71E99A55" w:rsidR="0034209D" w:rsidRDefault="0034209D" w:rsidP="0034209D">
      <w:pPr>
        <w:pStyle w:val="NormalWeb"/>
        <w:spacing w:before="0" w:beforeAutospacing="0" w:after="0" w:afterAutospacing="0"/>
        <w:rPr>
          <w:rFonts w:ascii="Arial" w:hAnsi="Arial" w:cs="Arial"/>
          <w:color w:val="000000"/>
          <w:sz w:val="22"/>
          <w:szCs w:val="22"/>
        </w:rPr>
      </w:pPr>
    </w:p>
    <w:p w14:paraId="29D2A4E5" w14:textId="110C9BF8" w:rsidR="0034209D" w:rsidRDefault="0034209D" w:rsidP="0034209D">
      <w:pPr>
        <w:pStyle w:val="NormalWeb"/>
        <w:spacing w:before="0" w:beforeAutospacing="0" w:after="0" w:afterAutospacing="0"/>
        <w:rPr>
          <w:rFonts w:ascii="Arial" w:hAnsi="Arial" w:cs="Arial"/>
          <w:color w:val="000000"/>
          <w:sz w:val="22"/>
          <w:szCs w:val="22"/>
        </w:rPr>
      </w:pPr>
    </w:p>
    <w:p w14:paraId="2BC8241B" w14:textId="381DDD53" w:rsidR="0034209D" w:rsidRDefault="0034209D" w:rsidP="0034209D">
      <w:pPr>
        <w:pStyle w:val="NormalWeb"/>
        <w:spacing w:before="0" w:beforeAutospacing="0" w:after="0" w:afterAutospacing="0"/>
        <w:rPr>
          <w:rFonts w:ascii="Arial" w:hAnsi="Arial" w:cs="Arial"/>
          <w:color w:val="000000"/>
          <w:sz w:val="22"/>
          <w:szCs w:val="22"/>
        </w:rPr>
      </w:pPr>
    </w:p>
    <w:p w14:paraId="6CC097DC" w14:textId="338EC38A" w:rsidR="0034209D" w:rsidRDefault="0034209D" w:rsidP="0034209D">
      <w:pPr>
        <w:pStyle w:val="NormalWeb"/>
        <w:spacing w:before="0" w:beforeAutospacing="0" w:after="0" w:afterAutospacing="0"/>
        <w:rPr>
          <w:rFonts w:ascii="Arial" w:hAnsi="Arial" w:cs="Arial"/>
          <w:color w:val="000000"/>
          <w:sz w:val="22"/>
          <w:szCs w:val="22"/>
        </w:rPr>
      </w:pPr>
    </w:p>
    <w:p w14:paraId="06F05F46" w14:textId="4E83C79C" w:rsidR="0034209D" w:rsidRDefault="0034209D" w:rsidP="0034209D">
      <w:pPr>
        <w:pStyle w:val="NormalWeb"/>
        <w:spacing w:before="0" w:beforeAutospacing="0" w:after="0" w:afterAutospacing="0"/>
        <w:rPr>
          <w:rFonts w:ascii="Arial" w:hAnsi="Arial" w:cs="Arial"/>
          <w:color w:val="000000"/>
          <w:sz w:val="22"/>
          <w:szCs w:val="22"/>
        </w:rPr>
      </w:pPr>
    </w:p>
    <w:p w14:paraId="308D9AF1" w14:textId="437DDF46" w:rsidR="0034209D" w:rsidRDefault="0034209D" w:rsidP="0034209D">
      <w:pPr>
        <w:pStyle w:val="NormalWeb"/>
        <w:spacing w:before="0" w:beforeAutospacing="0" w:after="0" w:afterAutospacing="0"/>
        <w:rPr>
          <w:rFonts w:ascii="Arial" w:hAnsi="Arial" w:cs="Arial"/>
          <w:color w:val="000000"/>
          <w:sz w:val="22"/>
          <w:szCs w:val="22"/>
        </w:rPr>
      </w:pPr>
    </w:p>
    <w:p w14:paraId="6E750E5D" w14:textId="5CD3CDDA" w:rsidR="0034209D" w:rsidRPr="00AD1AA1" w:rsidRDefault="0034209D" w:rsidP="00AD1AA1">
      <w:pPr>
        <w:pStyle w:val="Heading1"/>
        <w:rPr>
          <w:rFonts w:ascii="Times New Roman" w:eastAsia="Times New Roman" w:hAnsi="Times New Roman" w:cs="Times New Roman"/>
          <w:b/>
          <w:bCs/>
          <w:sz w:val="24"/>
          <w:szCs w:val="24"/>
        </w:rPr>
      </w:pPr>
      <w:bookmarkStart w:id="4" w:name="_Toc101972219"/>
      <w:bookmarkStart w:id="5" w:name="_Toc102048534"/>
      <w:r w:rsidRPr="00AD1AA1">
        <w:rPr>
          <w:rFonts w:eastAsia="Times New Roman"/>
          <w:b/>
          <w:bCs/>
        </w:rPr>
        <w:lastRenderedPageBreak/>
        <w:t xml:space="preserve">Part 1: </w:t>
      </w:r>
      <w:r w:rsidR="003E34DD">
        <w:rPr>
          <w:rFonts w:eastAsia="Times New Roman"/>
          <w:b/>
          <w:bCs/>
        </w:rPr>
        <w:t>New</w:t>
      </w:r>
      <w:r w:rsidRPr="00AD1AA1">
        <w:rPr>
          <w:rFonts w:eastAsia="Times New Roman"/>
          <w:b/>
          <w:bCs/>
        </w:rPr>
        <w:t xml:space="preserve"> Nucleoside Labeling for DNA Visualization</w:t>
      </w:r>
      <w:bookmarkEnd w:id="4"/>
      <w:bookmarkEnd w:id="5"/>
    </w:p>
    <w:p w14:paraId="738996F4" w14:textId="77777777" w:rsidR="00AA5F82" w:rsidRDefault="00AA5F82" w:rsidP="0034209D">
      <w:pPr>
        <w:spacing w:after="0" w:line="240" w:lineRule="auto"/>
        <w:rPr>
          <w:rFonts w:ascii="Arial" w:eastAsia="Times New Roman" w:hAnsi="Arial" w:cs="Arial"/>
          <w:b/>
          <w:bCs/>
          <w:color w:val="000000"/>
        </w:rPr>
      </w:pPr>
    </w:p>
    <w:p w14:paraId="3BE3065A" w14:textId="0F776C7C" w:rsidR="00AA5F82" w:rsidRDefault="0034209D" w:rsidP="0034209D">
      <w:pPr>
        <w:spacing w:after="0" w:line="240" w:lineRule="auto"/>
        <w:rPr>
          <w:rFonts w:ascii="Arial" w:eastAsia="Times New Roman" w:hAnsi="Arial" w:cs="Arial"/>
          <w:b/>
          <w:bCs/>
          <w:color w:val="000000"/>
        </w:rPr>
      </w:pPr>
      <w:r w:rsidRPr="0034209D">
        <w:rPr>
          <w:rFonts w:ascii="Arial" w:eastAsia="Times New Roman" w:hAnsi="Arial" w:cs="Arial"/>
          <w:b/>
          <w:bCs/>
          <w:color w:val="000000"/>
        </w:rPr>
        <w:t>Author:</w:t>
      </w:r>
    </w:p>
    <w:p w14:paraId="44C2E509" w14:textId="4ACD2A77" w:rsidR="00D93D08" w:rsidRDefault="0034209D" w:rsidP="0034209D">
      <w:pPr>
        <w:spacing w:after="0" w:line="240" w:lineRule="auto"/>
        <w:rPr>
          <w:rFonts w:ascii="Arial" w:eastAsia="Times New Roman" w:hAnsi="Arial" w:cs="Arial"/>
          <w:b/>
          <w:bCs/>
          <w:color w:val="000000"/>
        </w:rPr>
      </w:pPr>
      <w:r w:rsidRPr="0034209D">
        <w:rPr>
          <w:rFonts w:ascii="Arial" w:eastAsia="Times New Roman" w:hAnsi="Arial" w:cs="Arial"/>
          <w:b/>
          <w:bCs/>
          <w:color w:val="000000"/>
        </w:rPr>
        <w:t xml:space="preserve"> </w:t>
      </w:r>
    </w:p>
    <w:p w14:paraId="06DC78E4" w14:textId="2560E63F" w:rsidR="0034209D" w:rsidRDefault="0034209D" w:rsidP="00D93D08">
      <w:pPr>
        <w:spacing w:after="0" w:line="240" w:lineRule="auto"/>
        <w:ind w:firstLine="450"/>
        <w:rPr>
          <w:rFonts w:ascii="Arial" w:eastAsia="Times New Roman" w:hAnsi="Arial" w:cs="Arial"/>
          <w:b/>
          <w:bCs/>
          <w:color w:val="000000"/>
        </w:rPr>
      </w:pPr>
      <w:r w:rsidRPr="0034209D">
        <w:rPr>
          <w:rFonts w:ascii="Arial" w:eastAsia="Times New Roman" w:hAnsi="Arial" w:cs="Arial"/>
          <w:b/>
          <w:bCs/>
          <w:color w:val="000000"/>
        </w:rPr>
        <w:t>Silvana Reid</w:t>
      </w:r>
      <w:r w:rsidR="00E677FB">
        <w:rPr>
          <w:rFonts w:ascii="Arial" w:eastAsia="Times New Roman" w:hAnsi="Arial" w:cs="Arial"/>
          <w:b/>
          <w:bCs/>
          <w:color w:val="000000"/>
        </w:rPr>
        <w:t>, Chemistry and Biochemistry</w:t>
      </w:r>
    </w:p>
    <w:p w14:paraId="0CA93323" w14:textId="77777777" w:rsidR="00211E7E" w:rsidRPr="0034209D" w:rsidRDefault="00211E7E" w:rsidP="0034209D">
      <w:pPr>
        <w:spacing w:after="0" w:line="240" w:lineRule="auto"/>
        <w:rPr>
          <w:rFonts w:ascii="Times New Roman" w:eastAsia="Times New Roman" w:hAnsi="Times New Roman" w:cs="Times New Roman"/>
          <w:b/>
          <w:bCs/>
          <w:sz w:val="24"/>
          <w:szCs w:val="24"/>
        </w:rPr>
      </w:pPr>
    </w:p>
    <w:p w14:paraId="60CA429E" w14:textId="3B808334" w:rsidR="00D21781" w:rsidRDefault="0034209D" w:rsidP="0034209D">
      <w:pPr>
        <w:spacing w:after="0" w:line="240" w:lineRule="auto"/>
        <w:rPr>
          <w:rFonts w:ascii="Arial" w:eastAsia="Times New Roman" w:hAnsi="Arial" w:cs="Arial"/>
          <w:b/>
          <w:bCs/>
          <w:color w:val="000000"/>
        </w:rPr>
      </w:pPr>
      <w:r w:rsidRPr="0034209D">
        <w:rPr>
          <w:rFonts w:ascii="Arial" w:eastAsia="Times New Roman" w:hAnsi="Arial" w:cs="Arial"/>
          <w:b/>
          <w:bCs/>
          <w:color w:val="000000"/>
        </w:rPr>
        <w:t xml:space="preserve">Supervisors: </w:t>
      </w:r>
    </w:p>
    <w:p w14:paraId="4C36488B" w14:textId="77777777" w:rsidR="00AA5F82" w:rsidRDefault="00AA5F82" w:rsidP="0034209D">
      <w:pPr>
        <w:spacing w:after="0" w:line="240" w:lineRule="auto"/>
        <w:rPr>
          <w:rFonts w:ascii="Arial" w:eastAsia="Times New Roman" w:hAnsi="Arial" w:cs="Arial"/>
          <w:b/>
          <w:bCs/>
          <w:color w:val="000000"/>
        </w:rPr>
      </w:pPr>
    </w:p>
    <w:p w14:paraId="48EA0FE3" w14:textId="4C208667" w:rsidR="00D21781" w:rsidRDefault="00D21781" w:rsidP="00D93D08">
      <w:pPr>
        <w:spacing w:after="0" w:line="240" w:lineRule="auto"/>
        <w:ind w:left="540"/>
        <w:rPr>
          <w:rFonts w:ascii="Arial" w:eastAsia="Times New Roman" w:hAnsi="Arial" w:cs="Arial"/>
          <w:b/>
          <w:bCs/>
          <w:color w:val="000000"/>
        </w:rPr>
      </w:pPr>
      <w:r>
        <w:rPr>
          <w:rFonts w:ascii="Arial" w:eastAsia="Times New Roman" w:hAnsi="Arial" w:cs="Arial"/>
          <w:b/>
          <w:bCs/>
          <w:color w:val="000000"/>
        </w:rPr>
        <w:t xml:space="preserve">Professor </w:t>
      </w:r>
      <w:r w:rsidR="0034209D" w:rsidRPr="0034209D">
        <w:rPr>
          <w:rFonts w:ascii="Arial" w:eastAsia="Times New Roman" w:hAnsi="Arial" w:cs="Arial"/>
          <w:b/>
          <w:bCs/>
          <w:color w:val="000000"/>
        </w:rPr>
        <w:t>Nic</w:t>
      </w:r>
      <w:r>
        <w:rPr>
          <w:rFonts w:ascii="Arial" w:eastAsia="Times New Roman" w:hAnsi="Arial" w:cs="Arial"/>
          <w:b/>
          <w:bCs/>
          <w:color w:val="000000"/>
        </w:rPr>
        <w:t>holas</w:t>
      </w:r>
      <w:r w:rsidR="0034209D" w:rsidRPr="0034209D">
        <w:rPr>
          <w:rFonts w:ascii="Arial" w:eastAsia="Times New Roman" w:hAnsi="Arial" w:cs="Arial"/>
          <w:b/>
          <w:bCs/>
          <w:color w:val="000000"/>
        </w:rPr>
        <w:t xml:space="preserve"> </w:t>
      </w:r>
      <w:proofErr w:type="spellStart"/>
      <w:r w:rsidR="0034209D" w:rsidRPr="0034209D">
        <w:rPr>
          <w:rFonts w:ascii="Arial" w:eastAsia="Times New Roman" w:hAnsi="Arial" w:cs="Arial"/>
          <w:b/>
          <w:bCs/>
          <w:color w:val="000000"/>
        </w:rPr>
        <w:t>Rhind</w:t>
      </w:r>
      <w:proofErr w:type="spellEnd"/>
      <w:r>
        <w:rPr>
          <w:rFonts w:ascii="Arial" w:eastAsia="Times New Roman" w:hAnsi="Arial" w:cs="Arial"/>
          <w:b/>
          <w:bCs/>
          <w:color w:val="000000"/>
        </w:rPr>
        <w:t xml:space="preserve">, </w:t>
      </w:r>
      <w:r w:rsidR="00E677FB">
        <w:rPr>
          <w:rFonts w:ascii="Arial" w:eastAsia="Times New Roman" w:hAnsi="Arial" w:cs="Arial"/>
          <w:b/>
          <w:bCs/>
          <w:color w:val="000000"/>
        </w:rPr>
        <w:t xml:space="preserve">PhD, </w:t>
      </w:r>
      <w:r w:rsidRPr="00211E7E">
        <w:rPr>
          <w:rFonts w:ascii="Arial" w:eastAsia="Times New Roman" w:hAnsi="Arial" w:cs="Arial"/>
          <w:b/>
          <w:bCs/>
          <w:i/>
          <w:iCs/>
          <w:color w:val="000000"/>
        </w:rPr>
        <w:t>University of Massachusetts Medical School</w:t>
      </w:r>
      <w:r w:rsidR="005740CC" w:rsidRPr="00211E7E">
        <w:rPr>
          <w:rFonts w:ascii="Arial" w:eastAsia="Times New Roman" w:hAnsi="Arial" w:cs="Arial"/>
          <w:b/>
          <w:bCs/>
          <w:i/>
          <w:iCs/>
          <w:color w:val="000000"/>
        </w:rPr>
        <w:t>: Biochem</w:t>
      </w:r>
      <w:r w:rsidR="00211E7E" w:rsidRPr="00211E7E">
        <w:rPr>
          <w:rFonts w:ascii="Arial" w:eastAsia="Times New Roman" w:hAnsi="Arial" w:cs="Arial"/>
          <w:b/>
          <w:bCs/>
          <w:i/>
          <w:iCs/>
          <w:color w:val="000000"/>
        </w:rPr>
        <w:t xml:space="preserve">istry and Molecular </w:t>
      </w:r>
      <w:r w:rsidR="007F6C09">
        <w:rPr>
          <w:rFonts w:ascii="Arial" w:eastAsia="Times New Roman" w:hAnsi="Arial" w:cs="Arial"/>
          <w:b/>
          <w:bCs/>
          <w:i/>
          <w:iCs/>
          <w:color w:val="000000"/>
        </w:rPr>
        <w:t>Biot</w:t>
      </w:r>
      <w:r w:rsidR="00211E7E" w:rsidRPr="00211E7E">
        <w:rPr>
          <w:rFonts w:ascii="Arial" w:eastAsia="Times New Roman" w:hAnsi="Arial" w:cs="Arial"/>
          <w:b/>
          <w:bCs/>
          <w:i/>
          <w:iCs/>
          <w:color w:val="000000"/>
        </w:rPr>
        <w:t>echnology</w:t>
      </w:r>
      <w:r w:rsidR="0034209D" w:rsidRPr="0034209D">
        <w:rPr>
          <w:rFonts w:ascii="Arial" w:eastAsia="Times New Roman" w:hAnsi="Arial" w:cs="Arial"/>
          <w:b/>
          <w:bCs/>
          <w:color w:val="000000"/>
        </w:rPr>
        <w:t xml:space="preserve"> </w:t>
      </w:r>
    </w:p>
    <w:p w14:paraId="74F32B76" w14:textId="77777777" w:rsidR="00AA5F82" w:rsidRDefault="00AA5F82" w:rsidP="00D93D08">
      <w:pPr>
        <w:spacing w:after="0" w:line="240" w:lineRule="auto"/>
        <w:ind w:left="540"/>
        <w:rPr>
          <w:rFonts w:ascii="Arial" w:eastAsia="Times New Roman" w:hAnsi="Arial" w:cs="Arial"/>
          <w:b/>
          <w:bCs/>
          <w:color w:val="000000"/>
        </w:rPr>
      </w:pPr>
    </w:p>
    <w:p w14:paraId="531672C8" w14:textId="681A533D" w:rsidR="0034209D" w:rsidRPr="0034209D" w:rsidRDefault="00E677FB" w:rsidP="00D93D08">
      <w:pPr>
        <w:spacing w:after="0" w:line="240" w:lineRule="auto"/>
        <w:ind w:left="540"/>
        <w:rPr>
          <w:rFonts w:ascii="Times New Roman" w:eastAsia="Times New Roman" w:hAnsi="Times New Roman" w:cs="Times New Roman"/>
          <w:b/>
          <w:bCs/>
          <w:sz w:val="24"/>
          <w:szCs w:val="24"/>
        </w:rPr>
      </w:pPr>
      <w:r>
        <w:rPr>
          <w:rFonts w:ascii="Arial" w:eastAsia="Times New Roman" w:hAnsi="Arial" w:cs="Arial"/>
          <w:b/>
          <w:bCs/>
          <w:color w:val="000000"/>
        </w:rPr>
        <w:t xml:space="preserve">Professor </w:t>
      </w:r>
      <w:r w:rsidR="0034209D" w:rsidRPr="0034209D">
        <w:rPr>
          <w:rFonts w:ascii="Arial" w:eastAsia="Times New Roman" w:hAnsi="Arial" w:cs="Arial"/>
          <w:b/>
          <w:bCs/>
          <w:color w:val="000000"/>
        </w:rPr>
        <w:t>Destin Heilman</w:t>
      </w:r>
      <w:r w:rsidR="00D21781">
        <w:rPr>
          <w:rFonts w:ascii="Arial" w:eastAsia="Times New Roman" w:hAnsi="Arial" w:cs="Arial"/>
          <w:b/>
          <w:bCs/>
          <w:color w:val="000000"/>
        </w:rPr>
        <w:t>,</w:t>
      </w:r>
      <w:r w:rsidR="00211E7E">
        <w:rPr>
          <w:rFonts w:ascii="Arial" w:eastAsia="Times New Roman" w:hAnsi="Arial" w:cs="Arial"/>
          <w:b/>
          <w:bCs/>
          <w:color w:val="000000"/>
        </w:rPr>
        <w:t xml:space="preserve"> </w:t>
      </w:r>
      <w:r>
        <w:rPr>
          <w:rFonts w:ascii="Arial" w:eastAsia="Times New Roman" w:hAnsi="Arial" w:cs="Arial"/>
          <w:b/>
          <w:bCs/>
          <w:color w:val="000000"/>
        </w:rPr>
        <w:t xml:space="preserve">PhD, </w:t>
      </w:r>
      <w:r w:rsidR="00211E7E" w:rsidRPr="00211E7E">
        <w:rPr>
          <w:rFonts w:ascii="Arial" w:eastAsia="Times New Roman" w:hAnsi="Arial" w:cs="Arial"/>
          <w:b/>
          <w:bCs/>
          <w:i/>
          <w:iCs/>
          <w:color w:val="000000"/>
        </w:rPr>
        <w:t>Worcester Polytechnic Institute:</w:t>
      </w:r>
      <w:r w:rsidR="00D63BAC">
        <w:rPr>
          <w:rFonts w:ascii="Arial" w:eastAsia="Times New Roman" w:hAnsi="Arial" w:cs="Arial"/>
          <w:b/>
          <w:bCs/>
          <w:i/>
          <w:iCs/>
          <w:color w:val="000000"/>
        </w:rPr>
        <w:t xml:space="preserve"> Chemistry and</w:t>
      </w:r>
      <w:r w:rsidR="00211E7E" w:rsidRPr="00211E7E">
        <w:rPr>
          <w:rFonts w:ascii="Arial" w:eastAsia="Times New Roman" w:hAnsi="Arial" w:cs="Arial"/>
          <w:b/>
          <w:bCs/>
          <w:i/>
          <w:iCs/>
          <w:color w:val="000000"/>
        </w:rPr>
        <w:t xml:space="preserve"> Biochemistry</w:t>
      </w:r>
      <w:r w:rsidR="00D21781">
        <w:rPr>
          <w:rFonts w:ascii="Arial" w:eastAsia="Times New Roman" w:hAnsi="Arial" w:cs="Arial"/>
          <w:b/>
          <w:bCs/>
          <w:color w:val="000000"/>
        </w:rPr>
        <w:t xml:space="preserve"> </w:t>
      </w:r>
      <w:r w:rsidR="0034209D" w:rsidRPr="0034209D">
        <w:rPr>
          <w:rFonts w:ascii="Arial" w:eastAsia="Times New Roman" w:hAnsi="Arial" w:cs="Arial"/>
          <w:b/>
          <w:bCs/>
          <w:color w:val="000000"/>
        </w:rPr>
        <w:t xml:space="preserve"> </w:t>
      </w:r>
    </w:p>
    <w:p w14:paraId="5F05FDFD" w14:textId="03EDBD9D" w:rsidR="0034209D" w:rsidRDefault="0034209D" w:rsidP="00D93D08">
      <w:pPr>
        <w:pStyle w:val="NormalWeb"/>
        <w:spacing w:before="0" w:beforeAutospacing="0" w:after="0" w:afterAutospacing="0"/>
        <w:ind w:left="540"/>
        <w:rPr>
          <w:rFonts w:ascii="Arial" w:hAnsi="Arial" w:cs="Arial"/>
          <w:color w:val="000000"/>
          <w:sz w:val="22"/>
          <w:szCs w:val="22"/>
        </w:rPr>
      </w:pPr>
    </w:p>
    <w:p w14:paraId="528FD653" w14:textId="731E0105" w:rsidR="0034209D" w:rsidRDefault="0034209D" w:rsidP="0034209D">
      <w:pPr>
        <w:pStyle w:val="NormalWeb"/>
        <w:spacing w:before="0" w:beforeAutospacing="0" w:after="0" w:afterAutospacing="0"/>
        <w:rPr>
          <w:rFonts w:ascii="Arial" w:hAnsi="Arial" w:cs="Arial"/>
          <w:color w:val="000000"/>
          <w:sz w:val="22"/>
          <w:szCs w:val="22"/>
        </w:rPr>
      </w:pPr>
    </w:p>
    <w:p w14:paraId="611A18F9" w14:textId="413CE18C" w:rsidR="0034209D" w:rsidRDefault="0034209D" w:rsidP="0034209D">
      <w:pPr>
        <w:pStyle w:val="NormalWeb"/>
        <w:spacing w:before="0" w:beforeAutospacing="0" w:after="0" w:afterAutospacing="0"/>
        <w:rPr>
          <w:rFonts w:ascii="Arial" w:hAnsi="Arial" w:cs="Arial"/>
          <w:color w:val="000000"/>
          <w:sz w:val="22"/>
          <w:szCs w:val="22"/>
        </w:rPr>
      </w:pPr>
    </w:p>
    <w:p w14:paraId="57A59093" w14:textId="05A833A5" w:rsidR="0034209D" w:rsidRDefault="0034209D" w:rsidP="0034209D">
      <w:pPr>
        <w:pStyle w:val="NormalWeb"/>
        <w:spacing w:before="0" w:beforeAutospacing="0" w:after="0" w:afterAutospacing="0"/>
        <w:rPr>
          <w:rFonts w:ascii="Arial" w:hAnsi="Arial" w:cs="Arial"/>
          <w:color w:val="000000"/>
          <w:sz w:val="22"/>
          <w:szCs w:val="22"/>
        </w:rPr>
      </w:pPr>
    </w:p>
    <w:p w14:paraId="20D1E50F" w14:textId="2F4D390E" w:rsidR="0034209D" w:rsidRDefault="0034209D" w:rsidP="0034209D">
      <w:pPr>
        <w:pStyle w:val="NormalWeb"/>
        <w:spacing w:before="0" w:beforeAutospacing="0" w:after="0" w:afterAutospacing="0"/>
        <w:rPr>
          <w:rFonts w:ascii="Arial" w:hAnsi="Arial" w:cs="Arial"/>
          <w:color w:val="000000"/>
          <w:sz w:val="22"/>
          <w:szCs w:val="22"/>
        </w:rPr>
      </w:pPr>
    </w:p>
    <w:p w14:paraId="4092A84D" w14:textId="554F601F" w:rsidR="0034209D" w:rsidRDefault="0034209D" w:rsidP="0034209D">
      <w:pPr>
        <w:pStyle w:val="NormalWeb"/>
        <w:spacing w:before="0" w:beforeAutospacing="0" w:after="0" w:afterAutospacing="0"/>
        <w:rPr>
          <w:rFonts w:ascii="Arial" w:hAnsi="Arial" w:cs="Arial"/>
          <w:color w:val="000000"/>
          <w:sz w:val="22"/>
          <w:szCs w:val="22"/>
        </w:rPr>
      </w:pPr>
    </w:p>
    <w:p w14:paraId="61277068" w14:textId="41103C3E" w:rsidR="0034209D" w:rsidRDefault="0034209D" w:rsidP="0034209D">
      <w:pPr>
        <w:pStyle w:val="NormalWeb"/>
        <w:spacing w:before="0" w:beforeAutospacing="0" w:after="0" w:afterAutospacing="0"/>
        <w:rPr>
          <w:rFonts w:ascii="Arial" w:hAnsi="Arial" w:cs="Arial"/>
          <w:color w:val="000000"/>
          <w:sz w:val="22"/>
          <w:szCs w:val="22"/>
        </w:rPr>
      </w:pPr>
    </w:p>
    <w:p w14:paraId="26E3F708" w14:textId="1288C5F3" w:rsidR="0034209D" w:rsidRDefault="0034209D" w:rsidP="0034209D">
      <w:pPr>
        <w:pStyle w:val="NormalWeb"/>
        <w:spacing w:before="0" w:beforeAutospacing="0" w:after="0" w:afterAutospacing="0"/>
        <w:rPr>
          <w:rFonts w:ascii="Arial" w:hAnsi="Arial" w:cs="Arial"/>
          <w:color w:val="000000"/>
          <w:sz w:val="22"/>
          <w:szCs w:val="22"/>
        </w:rPr>
      </w:pPr>
    </w:p>
    <w:p w14:paraId="241EBF2A" w14:textId="4A987776" w:rsidR="0034209D" w:rsidRDefault="0034209D" w:rsidP="0034209D">
      <w:pPr>
        <w:pStyle w:val="NormalWeb"/>
        <w:spacing w:before="0" w:beforeAutospacing="0" w:after="0" w:afterAutospacing="0"/>
        <w:rPr>
          <w:rFonts w:ascii="Arial" w:hAnsi="Arial" w:cs="Arial"/>
          <w:color w:val="000000"/>
          <w:sz w:val="22"/>
          <w:szCs w:val="22"/>
        </w:rPr>
      </w:pPr>
    </w:p>
    <w:p w14:paraId="562BD577" w14:textId="6AA909C6" w:rsidR="0034209D" w:rsidRDefault="0034209D" w:rsidP="0034209D">
      <w:pPr>
        <w:pStyle w:val="NormalWeb"/>
        <w:spacing w:before="0" w:beforeAutospacing="0" w:after="0" w:afterAutospacing="0"/>
        <w:rPr>
          <w:rFonts w:ascii="Arial" w:hAnsi="Arial" w:cs="Arial"/>
          <w:color w:val="000000"/>
          <w:sz w:val="22"/>
          <w:szCs w:val="22"/>
        </w:rPr>
      </w:pPr>
    </w:p>
    <w:p w14:paraId="71E8DF12" w14:textId="77777777" w:rsidR="0034209D" w:rsidRDefault="0034209D" w:rsidP="0034209D">
      <w:pPr>
        <w:pStyle w:val="NormalWeb"/>
        <w:spacing w:before="0" w:beforeAutospacing="0" w:after="0" w:afterAutospacing="0"/>
      </w:pPr>
    </w:p>
    <w:p w14:paraId="47A1BB95" w14:textId="77777777"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603595F4" w14:textId="02C6A5EF"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19D871B5" w14:textId="1F3E4617"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33139542" w14:textId="1151C199"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087CBC0A" w14:textId="34467A9D"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0EDAAE9B" w14:textId="7669346A"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3D0CCAFB" w14:textId="2ED3DE6B"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1108838B" w14:textId="0EAB28B7"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497AD084" w14:textId="2DFA5A7E" w:rsidR="00AD1AA1" w:rsidRPr="00F672B2" w:rsidRDefault="0034209D" w:rsidP="00286104">
      <w:pPr>
        <w:pStyle w:val="Heading1"/>
        <w:rPr>
          <w:sz w:val="40"/>
          <w:szCs w:val="40"/>
        </w:rPr>
      </w:pPr>
      <w:bookmarkStart w:id="6" w:name="_Toc101972220"/>
      <w:bookmarkStart w:id="7" w:name="_Toc102048535"/>
      <w:r w:rsidRPr="00F672B2">
        <w:rPr>
          <w:sz w:val="40"/>
          <w:szCs w:val="40"/>
        </w:rPr>
        <w:lastRenderedPageBreak/>
        <w:t>Abstract</w:t>
      </w:r>
      <w:bookmarkEnd w:id="6"/>
      <w:bookmarkEnd w:id="7"/>
      <w:r w:rsidRPr="00F672B2">
        <w:rPr>
          <w:sz w:val="40"/>
          <w:szCs w:val="40"/>
        </w:rPr>
        <w:t> </w:t>
      </w:r>
    </w:p>
    <w:p w14:paraId="28212210" w14:textId="2B6A7C28" w:rsidR="0034209D" w:rsidRPr="004E6670" w:rsidRDefault="0034209D" w:rsidP="00D63BAC">
      <w:pPr>
        <w:pStyle w:val="Heading1"/>
        <w:spacing w:line="276" w:lineRule="auto"/>
        <w:ind w:firstLine="180"/>
        <w:rPr>
          <w:rFonts w:ascii="Times New Roman" w:hAnsi="Times New Roman" w:cs="Times New Roman"/>
          <w:color w:val="000000"/>
          <w:sz w:val="24"/>
          <w:szCs w:val="24"/>
        </w:rPr>
      </w:pPr>
      <w:bookmarkStart w:id="8" w:name="_Toc101972221"/>
      <w:bookmarkStart w:id="9" w:name="_Toc101973786"/>
      <w:bookmarkStart w:id="10" w:name="_Toc101987637"/>
      <w:bookmarkStart w:id="11" w:name="_Toc101989052"/>
      <w:bookmarkStart w:id="12" w:name="_Toc102048536"/>
      <w:r w:rsidRPr="00AD1AA1">
        <w:rPr>
          <w:rFonts w:ascii="Times New Roman" w:hAnsi="Times New Roman" w:cs="Times New Roman"/>
          <w:color w:val="000000"/>
          <w:sz w:val="24"/>
          <w:szCs w:val="24"/>
        </w:rPr>
        <w:t xml:space="preserve">DNA replication is temporally regulated with some origins firing early in the S phase and others firing later. Probabilistic models for DNA replication suggest that early origins are more likely to </w:t>
      </w:r>
      <w:r w:rsidR="00333F33" w:rsidRPr="00AD1AA1">
        <w:rPr>
          <w:rFonts w:ascii="Times New Roman" w:hAnsi="Times New Roman" w:cs="Times New Roman"/>
          <w:color w:val="000000"/>
          <w:sz w:val="24"/>
          <w:szCs w:val="24"/>
        </w:rPr>
        <w:t>fire,</w:t>
      </w:r>
      <w:r w:rsidRPr="00AD1AA1">
        <w:rPr>
          <w:rFonts w:ascii="Times New Roman" w:hAnsi="Times New Roman" w:cs="Times New Roman"/>
          <w:color w:val="000000"/>
          <w:sz w:val="24"/>
          <w:szCs w:val="24"/>
        </w:rPr>
        <w:t xml:space="preserve"> and late origins are less likely. For this project, we wanted to develop tools that allow current models to be tested to answer why some origin fires early or later. Currently, such replication models are based on laborious, time-consuming single-molecule DNA visualization techniques. Optical replication mapping (ORM) has been determined to be an efficient tool in visualizing DNA, as it is neither labor-intensive </w:t>
      </w:r>
      <w:r w:rsidR="004E6670" w:rsidRPr="00AD1AA1">
        <w:rPr>
          <w:rFonts w:ascii="Times New Roman" w:hAnsi="Times New Roman" w:cs="Times New Roman"/>
          <w:color w:val="000000"/>
          <w:sz w:val="24"/>
          <w:szCs w:val="24"/>
        </w:rPr>
        <w:t>nor</w:t>
      </w:r>
      <w:r w:rsidRPr="00AD1AA1">
        <w:rPr>
          <w:rFonts w:ascii="Times New Roman" w:hAnsi="Times New Roman" w:cs="Times New Roman"/>
          <w:color w:val="000000"/>
          <w:sz w:val="24"/>
          <w:szCs w:val="24"/>
        </w:rPr>
        <w:t xml:space="preserve"> </w:t>
      </w:r>
      <w:r w:rsidR="00D63BAC" w:rsidRPr="00AD1AA1">
        <w:rPr>
          <w:rFonts w:ascii="Times New Roman" w:hAnsi="Times New Roman" w:cs="Times New Roman"/>
          <w:color w:val="000000"/>
          <w:sz w:val="24"/>
          <w:szCs w:val="24"/>
        </w:rPr>
        <w:t>time intensive</w:t>
      </w:r>
      <w:r w:rsidRPr="00AD1AA1">
        <w:rPr>
          <w:rFonts w:ascii="Times New Roman" w:hAnsi="Times New Roman" w:cs="Times New Roman"/>
          <w:color w:val="000000"/>
          <w:sz w:val="24"/>
          <w:szCs w:val="24"/>
        </w:rPr>
        <w:t xml:space="preserve"> as other approaches. The issue with ORM is that it’s not compatible with </w:t>
      </w:r>
      <w:proofErr w:type="spellStart"/>
      <w:r w:rsidRPr="00AD1AA1">
        <w:rPr>
          <w:rFonts w:ascii="Times New Roman" w:hAnsi="Times New Roman" w:cs="Times New Roman"/>
          <w:color w:val="000000"/>
          <w:sz w:val="24"/>
          <w:szCs w:val="24"/>
        </w:rPr>
        <w:t>EdU</w:t>
      </w:r>
      <w:proofErr w:type="spellEnd"/>
      <w:r w:rsidRPr="00AD1AA1">
        <w:rPr>
          <w:rFonts w:ascii="Times New Roman" w:hAnsi="Times New Roman" w:cs="Times New Roman"/>
          <w:color w:val="000000"/>
          <w:sz w:val="24"/>
          <w:szCs w:val="24"/>
        </w:rPr>
        <w:t xml:space="preserve">, </w:t>
      </w:r>
      <w:proofErr w:type="spellStart"/>
      <w:r w:rsidRPr="00AD1AA1">
        <w:rPr>
          <w:rFonts w:ascii="Times New Roman" w:hAnsi="Times New Roman" w:cs="Times New Roman"/>
          <w:color w:val="000000"/>
          <w:sz w:val="24"/>
          <w:szCs w:val="24"/>
        </w:rPr>
        <w:t>IdU</w:t>
      </w:r>
      <w:proofErr w:type="spellEnd"/>
      <w:r w:rsidRPr="00AD1AA1">
        <w:rPr>
          <w:rFonts w:ascii="Times New Roman" w:hAnsi="Times New Roman" w:cs="Times New Roman"/>
          <w:color w:val="000000"/>
          <w:sz w:val="24"/>
          <w:szCs w:val="24"/>
        </w:rPr>
        <w:t xml:space="preserve">, </w:t>
      </w:r>
      <w:proofErr w:type="spellStart"/>
      <w:r w:rsidRPr="00AD1AA1">
        <w:rPr>
          <w:rFonts w:ascii="Times New Roman" w:hAnsi="Times New Roman" w:cs="Times New Roman"/>
          <w:color w:val="000000"/>
          <w:sz w:val="24"/>
          <w:szCs w:val="24"/>
        </w:rPr>
        <w:t>BrdU</w:t>
      </w:r>
      <w:proofErr w:type="spellEnd"/>
      <w:r w:rsidRPr="00AD1AA1">
        <w:rPr>
          <w:rFonts w:ascii="Times New Roman" w:hAnsi="Times New Roman" w:cs="Times New Roman"/>
          <w:color w:val="000000"/>
          <w:sz w:val="24"/>
          <w:szCs w:val="24"/>
        </w:rPr>
        <w:t xml:space="preserve">, or </w:t>
      </w:r>
      <w:proofErr w:type="spellStart"/>
      <w:r w:rsidRPr="00AD1AA1">
        <w:rPr>
          <w:rFonts w:ascii="Times New Roman" w:hAnsi="Times New Roman" w:cs="Times New Roman"/>
          <w:color w:val="000000"/>
          <w:sz w:val="24"/>
          <w:szCs w:val="24"/>
        </w:rPr>
        <w:t>CldU</w:t>
      </w:r>
      <w:proofErr w:type="spellEnd"/>
      <w:r w:rsidRPr="00AD1AA1">
        <w:rPr>
          <w:rFonts w:ascii="Times New Roman" w:hAnsi="Times New Roman" w:cs="Times New Roman"/>
          <w:color w:val="000000"/>
          <w:sz w:val="24"/>
          <w:szCs w:val="24"/>
        </w:rPr>
        <w:t xml:space="preserve">, which are used to visualize origin </w:t>
      </w:r>
      <w:proofErr w:type="spellStart"/>
      <w:proofErr w:type="gramStart"/>
      <w:r w:rsidRPr="00AD1AA1">
        <w:rPr>
          <w:rFonts w:ascii="Times New Roman" w:hAnsi="Times New Roman" w:cs="Times New Roman"/>
          <w:color w:val="000000"/>
          <w:sz w:val="24"/>
          <w:szCs w:val="24"/>
        </w:rPr>
        <w:t>sites.The</w:t>
      </w:r>
      <w:proofErr w:type="spellEnd"/>
      <w:proofErr w:type="gramEnd"/>
      <w:r w:rsidRPr="00AD1AA1">
        <w:rPr>
          <w:rFonts w:ascii="Times New Roman" w:hAnsi="Times New Roman" w:cs="Times New Roman"/>
          <w:color w:val="000000"/>
          <w:sz w:val="24"/>
          <w:szCs w:val="24"/>
        </w:rPr>
        <w:t xml:space="preserve"> primary goal of this project is to</w:t>
      </w:r>
      <w:r w:rsidR="002754E5" w:rsidRPr="002754E5">
        <w:rPr>
          <w:rFonts w:ascii="Times New Roman" w:hAnsi="Times New Roman" w:cs="Times New Roman"/>
          <w:color w:val="000000"/>
          <w:sz w:val="24"/>
          <w:szCs w:val="24"/>
        </w:rPr>
        <w:t xml:space="preserve"> analyze their ability to be incorporated into DNA and their compatibility to be fluorescently tagged. </w:t>
      </w:r>
      <w:bookmarkEnd w:id="8"/>
      <w:bookmarkEnd w:id="9"/>
      <w:bookmarkEnd w:id="10"/>
      <w:bookmarkEnd w:id="11"/>
      <w:r w:rsidR="004E6670" w:rsidRPr="004E6670">
        <w:rPr>
          <w:rFonts w:ascii="Times New Roman" w:hAnsi="Times New Roman" w:cs="Times New Roman"/>
          <w:color w:val="000000"/>
          <w:sz w:val="24"/>
          <w:szCs w:val="24"/>
        </w:rPr>
        <w:t>In doing such, we wanted to determine which workflow would be optimal for further preparation for optical replication mapping (ORM).</w:t>
      </w:r>
      <w:bookmarkEnd w:id="12"/>
    </w:p>
    <w:p w14:paraId="409D4769" w14:textId="6CC967F3"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05A5C932" w14:textId="442436A4"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3C510340" w14:textId="0AF687A5"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2EBE6CCE" w14:textId="5A60E696"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527AFAD5" w14:textId="52F59E43"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33C544DC" w14:textId="31EF8191"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4C4A62C1" w14:textId="5CBB601A" w:rsidR="0034209D" w:rsidRDefault="0034209D" w:rsidP="00C70856">
      <w:pPr>
        <w:spacing w:before="360" w:after="120" w:line="240" w:lineRule="auto"/>
        <w:outlineLvl w:val="1"/>
        <w:rPr>
          <w:rFonts w:ascii="Times New Roman" w:eastAsia="Times New Roman" w:hAnsi="Times New Roman" w:cs="Times New Roman"/>
          <w:color w:val="000000"/>
          <w:sz w:val="32"/>
          <w:szCs w:val="32"/>
        </w:rPr>
      </w:pPr>
    </w:p>
    <w:p w14:paraId="27846E63" w14:textId="4F7758AB" w:rsidR="00CB769B" w:rsidRDefault="00CB769B" w:rsidP="005E05B9">
      <w:pPr>
        <w:pStyle w:val="Heading1"/>
        <w:spacing w:after="240"/>
        <w:rPr>
          <w:sz w:val="40"/>
          <w:szCs w:val="40"/>
        </w:rPr>
      </w:pPr>
      <w:bookmarkStart w:id="13" w:name="_Toc101972222"/>
    </w:p>
    <w:p w14:paraId="30916F1D" w14:textId="6289455D" w:rsidR="00CB769B" w:rsidRDefault="00CB769B" w:rsidP="00CB769B"/>
    <w:p w14:paraId="4736EB2F" w14:textId="20E94138" w:rsidR="004E6670" w:rsidRDefault="004E6670" w:rsidP="00CB769B"/>
    <w:p w14:paraId="2F77BE56" w14:textId="77777777" w:rsidR="004E6670" w:rsidRPr="00CB769B" w:rsidRDefault="004E6670" w:rsidP="00CB769B"/>
    <w:p w14:paraId="7FD7705A" w14:textId="6FE461AF" w:rsidR="005E05B9" w:rsidRPr="005E05B9" w:rsidRDefault="0034209D" w:rsidP="005E05B9">
      <w:pPr>
        <w:pStyle w:val="Heading1"/>
        <w:spacing w:after="240"/>
        <w:rPr>
          <w:sz w:val="40"/>
          <w:szCs w:val="40"/>
        </w:rPr>
      </w:pPr>
      <w:bookmarkStart w:id="14" w:name="_Toc102048537"/>
      <w:r w:rsidRPr="005E05B9">
        <w:rPr>
          <w:sz w:val="40"/>
          <w:szCs w:val="40"/>
        </w:rPr>
        <w:lastRenderedPageBreak/>
        <w:t>Introduction</w:t>
      </w:r>
      <w:bookmarkEnd w:id="13"/>
      <w:bookmarkEnd w:id="14"/>
      <w:r w:rsidRPr="005E05B9">
        <w:rPr>
          <w:sz w:val="40"/>
          <w:szCs w:val="40"/>
        </w:rPr>
        <w:t> </w:t>
      </w:r>
    </w:p>
    <w:p w14:paraId="138CBD64" w14:textId="43D04089" w:rsidR="0034209D" w:rsidRDefault="0034209D" w:rsidP="00D63BAC">
      <w:pPr>
        <w:pStyle w:val="NormalWeb"/>
        <w:spacing w:before="0" w:beforeAutospacing="0" w:after="0" w:afterAutospacing="0" w:line="276" w:lineRule="auto"/>
        <w:ind w:firstLine="180"/>
      </w:pPr>
      <w:r>
        <w:rPr>
          <w:color w:val="000000"/>
          <w:shd w:val="clear" w:color="auto" w:fill="FFFFFF"/>
        </w:rPr>
        <w:t xml:space="preserve">The term origin refers to the sequences in a genome that indicate to the cell where to initiate replication in preparation for cellular division. As seen in Figure 1, replication occurs in a </w:t>
      </w:r>
      <w:r w:rsidR="00AD1AA1">
        <w:rPr>
          <w:color w:val="000000"/>
          <w:shd w:val="clear" w:color="auto" w:fill="FFFFFF"/>
        </w:rPr>
        <w:t>stepwise</w:t>
      </w:r>
      <w:r>
        <w:rPr>
          <w:color w:val="000000"/>
          <w:shd w:val="clear" w:color="auto" w:fill="FFFFFF"/>
        </w:rPr>
        <w:t xml:space="preserve"> process. The cell cycle is split into two parts; the longer portion is referred to as interphase and the end portion is referred to as mitosis. During interphase, both stepwise and continuous processes occur </w:t>
      </w:r>
      <w:r w:rsidR="00AD1AA1">
        <w:rPr>
          <w:color w:val="000000"/>
          <w:shd w:val="clear" w:color="auto" w:fill="FFFFFF"/>
        </w:rPr>
        <w:t>to</w:t>
      </w:r>
      <w:r>
        <w:rPr>
          <w:color w:val="000000"/>
          <w:shd w:val="clear" w:color="auto" w:fill="FFFFFF"/>
        </w:rPr>
        <w:t xml:space="preserve"> allow the cell to grow and replicate its DNA</w:t>
      </w:r>
      <w:r>
        <w:rPr>
          <w:color w:val="000000"/>
        </w:rPr>
        <w:t xml:space="preserve"> (</w:t>
      </w:r>
      <w:r w:rsidR="00FD7A03">
        <w:rPr>
          <w:color w:val="000000"/>
        </w:rPr>
        <w:t>Stock</w:t>
      </w:r>
      <w:r w:rsidR="006D299F">
        <w:rPr>
          <w:color w:val="000000"/>
        </w:rPr>
        <w:t>dale</w:t>
      </w:r>
      <w:r w:rsidR="00E863BA">
        <w:rPr>
          <w:color w:val="000000"/>
        </w:rPr>
        <w:t xml:space="preserve"> et al</w:t>
      </w:r>
      <w:r w:rsidR="006D299F">
        <w:rPr>
          <w:color w:val="000000"/>
        </w:rPr>
        <w:t>, 1961</w:t>
      </w:r>
      <w:r>
        <w:rPr>
          <w:color w:val="000000"/>
        </w:rPr>
        <w:t>). This allows S-phase to occur, in which the genetic material is doubled, and which is initiated at the origins. Understanding origins during this phase are important because it provides insight into replication timing. Replication timing has been shown to be largely dependent on the time of the initiation of origins. The replication of eukaryotic chromosomes has been shown to have a predictable order, which is largely mediated by the time of the initiation of origins (</w:t>
      </w:r>
      <w:proofErr w:type="spellStart"/>
      <w:r w:rsidR="006D299F">
        <w:rPr>
          <w:color w:val="000000"/>
        </w:rPr>
        <w:t>Rhind</w:t>
      </w:r>
      <w:proofErr w:type="spellEnd"/>
      <w:r w:rsidR="006D299F">
        <w:rPr>
          <w:color w:val="000000"/>
        </w:rPr>
        <w:t>, 2006</w:t>
      </w:r>
      <w:r>
        <w:rPr>
          <w:color w:val="000000"/>
        </w:rPr>
        <w:t xml:space="preserve">). It has been confirmed that this order, although not the origins themselves, are conserved between species, which leads to the idea that the timing of replication is independently regulated by the mechanism specifying origins </w:t>
      </w:r>
      <w:r w:rsidR="006D299F">
        <w:rPr>
          <w:color w:val="000000"/>
        </w:rPr>
        <w:t>(</w:t>
      </w:r>
      <w:proofErr w:type="spellStart"/>
      <w:r w:rsidR="006D299F">
        <w:rPr>
          <w:color w:val="000000"/>
        </w:rPr>
        <w:t>Rhind</w:t>
      </w:r>
      <w:proofErr w:type="spellEnd"/>
      <w:r w:rsidR="005E6A60">
        <w:rPr>
          <w:color w:val="000000"/>
        </w:rPr>
        <w:t xml:space="preserve"> et al</w:t>
      </w:r>
      <w:r w:rsidR="006D299F">
        <w:rPr>
          <w:color w:val="000000"/>
        </w:rPr>
        <w:t>, 2009</w:t>
      </w:r>
      <w:r>
        <w:rPr>
          <w:color w:val="000000"/>
        </w:rPr>
        <w:t xml:space="preserve">). </w:t>
      </w:r>
      <w:r>
        <w:rPr>
          <w:color w:val="000000"/>
          <w:shd w:val="clear" w:color="auto" w:fill="FFFFFF"/>
        </w:rPr>
        <w:t>Coming to understand the regulation of this timing allows for a clearer picture of the effects of origin replication timing on the genome, allowing a better understanding of how replication works and the kinetics that are involved</w:t>
      </w:r>
      <w:r w:rsidR="006D299F">
        <w:rPr>
          <w:color w:val="000000"/>
          <w:shd w:val="clear" w:color="auto" w:fill="FFFFFF"/>
        </w:rPr>
        <w:t xml:space="preserve"> (</w:t>
      </w:r>
      <w:proofErr w:type="spellStart"/>
      <w:r w:rsidR="006D299F">
        <w:rPr>
          <w:color w:val="000000"/>
          <w:shd w:val="clear" w:color="auto" w:fill="FFFFFF"/>
        </w:rPr>
        <w:t>Rhind</w:t>
      </w:r>
      <w:proofErr w:type="spellEnd"/>
      <w:r w:rsidR="006D299F">
        <w:rPr>
          <w:color w:val="000000"/>
          <w:shd w:val="clear" w:color="auto" w:fill="FFFFFF"/>
        </w:rPr>
        <w:t>, 2006)</w:t>
      </w:r>
      <w:r>
        <w:rPr>
          <w:color w:val="000000"/>
          <w:shd w:val="clear" w:color="auto" w:fill="FFFFFF"/>
        </w:rPr>
        <w:t>. This project is aimed at creating new analytical procedures which will allow for specific location determination of origins during replication. By providing specific locations, we can more deeply investigate the biological phenomenon of origin firing, which will allow for further investigation of their kinetics and other properties.</w:t>
      </w:r>
    </w:p>
    <w:p w14:paraId="194A512A" w14:textId="6FB2D9AB" w:rsidR="0034209D" w:rsidRDefault="0034209D" w:rsidP="0034209D">
      <w:pPr>
        <w:pStyle w:val="NormalWeb"/>
        <w:spacing w:before="0" w:beforeAutospacing="0" w:after="0" w:afterAutospacing="0" w:line="480" w:lineRule="auto"/>
        <w:jc w:val="center"/>
      </w:pPr>
      <w:r>
        <w:rPr>
          <w:rFonts w:ascii="Arial" w:hAnsi="Arial" w:cs="Arial"/>
          <w:noProof/>
          <w:color w:val="000000"/>
          <w:bdr w:val="none" w:sz="0" w:space="0" w:color="auto" w:frame="1"/>
        </w:rPr>
        <w:drawing>
          <wp:inline distT="0" distB="0" distL="0" distR="0" wp14:anchorId="2D9AFCDC" wp14:editId="3E751BA9">
            <wp:extent cx="3049575" cy="2871989"/>
            <wp:effectExtent l="0" t="0" r="0" b="508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2570" cy="2874810"/>
                    </a:xfrm>
                    <a:prstGeom prst="rect">
                      <a:avLst/>
                    </a:prstGeom>
                    <a:noFill/>
                    <a:ln>
                      <a:noFill/>
                    </a:ln>
                  </pic:spPr>
                </pic:pic>
              </a:graphicData>
            </a:graphic>
          </wp:inline>
        </w:drawing>
      </w:r>
    </w:p>
    <w:p w14:paraId="531875B3" w14:textId="3DD4E336" w:rsidR="0034209D" w:rsidRPr="00D46D1E" w:rsidRDefault="0034209D" w:rsidP="004747D0">
      <w:pPr>
        <w:pStyle w:val="Heading5"/>
        <w:rPr>
          <w:i/>
          <w:iCs/>
        </w:rPr>
      </w:pPr>
      <w:r w:rsidRPr="00D46D1E">
        <w:rPr>
          <w:b/>
          <w:bCs/>
          <w:i/>
          <w:iCs/>
          <w:shd w:val="clear" w:color="auto" w:fill="FFFFFF"/>
        </w:rPr>
        <w:t>Figure 1: Represents DNA replication in the S-Phase</w:t>
      </w:r>
      <w:r w:rsidR="00D46D1E">
        <w:rPr>
          <w:i/>
          <w:iCs/>
          <w:shd w:val="clear" w:color="auto" w:fill="FFFFFF"/>
        </w:rPr>
        <w:t>-</w:t>
      </w:r>
      <w:r w:rsidRPr="00D46D1E">
        <w:rPr>
          <w:i/>
          <w:iCs/>
          <w:shd w:val="clear" w:color="auto" w:fill="FFFFFF"/>
        </w:rPr>
        <w:t xml:space="preserve">Specific locations of origins </w:t>
      </w:r>
      <w:proofErr w:type="gramStart"/>
      <w:r w:rsidRPr="00D46D1E">
        <w:rPr>
          <w:i/>
          <w:iCs/>
          <w:shd w:val="clear" w:color="auto" w:fill="FFFFFF"/>
        </w:rPr>
        <w:t>are</w:t>
      </w:r>
      <w:proofErr w:type="gramEnd"/>
      <w:r w:rsidRPr="00D46D1E">
        <w:rPr>
          <w:i/>
          <w:iCs/>
          <w:shd w:val="clear" w:color="auto" w:fill="FFFFFF"/>
        </w:rPr>
        <w:t xml:space="preserve"> identified to demonstrate the role these sites play in initiating replication</w:t>
      </w:r>
      <w:r w:rsidR="00AD1AA1" w:rsidRPr="00D46D1E">
        <w:rPr>
          <w:i/>
          <w:iCs/>
          <w:shd w:val="clear" w:color="auto" w:fill="FFFFFF"/>
        </w:rPr>
        <w:t xml:space="preserve"> (Wikimedia, 2022)</w:t>
      </w:r>
    </w:p>
    <w:p w14:paraId="12320936" w14:textId="77777777" w:rsidR="00333F33" w:rsidRDefault="00333F33" w:rsidP="004747D0">
      <w:pPr>
        <w:pStyle w:val="Heading2"/>
        <w:rPr>
          <w:color w:val="4472C4" w:themeColor="accent1"/>
        </w:rPr>
      </w:pPr>
    </w:p>
    <w:p w14:paraId="7363F2F0" w14:textId="06374A82" w:rsidR="0034209D" w:rsidRPr="00CB769B" w:rsidRDefault="0034209D" w:rsidP="004747D0">
      <w:pPr>
        <w:pStyle w:val="Heading2"/>
        <w:rPr>
          <w:color w:val="4472C4" w:themeColor="accent1"/>
        </w:rPr>
      </w:pPr>
      <w:r w:rsidRPr="00CB769B">
        <w:rPr>
          <w:color w:val="4472C4" w:themeColor="accent1"/>
        </w:rPr>
        <w:lastRenderedPageBreak/>
        <w:br/>
      </w:r>
      <w:bookmarkStart w:id="15" w:name="_Toc101972223"/>
      <w:bookmarkStart w:id="16" w:name="_Toc102048538"/>
      <w:r w:rsidRPr="00CB769B">
        <w:rPr>
          <w:color w:val="4472C4" w:themeColor="accent1"/>
        </w:rPr>
        <w:t>DNA Replication Models:</w:t>
      </w:r>
      <w:bookmarkEnd w:id="15"/>
      <w:bookmarkEnd w:id="16"/>
    </w:p>
    <w:p w14:paraId="5C6BE163" w14:textId="7D4E6478" w:rsidR="0034209D" w:rsidRDefault="0034209D" w:rsidP="00D63BAC">
      <w:pPr>
        <w:pStyle w:val="NormalWeb"/>
        <w:spacing w:before="0" w:beforeAutospacing="0" w:after="0" w:afterAutospacing="0" w:line="276" w:lineRule="auto"/>
        <w:ind w:firstLine="180"/>
      </w:pPr>
      <w:r>
        <w:rPr>
          <w:color w:val="000000"/>
        </w:rPr>
        <w:t xml:space="preserve">The organization of eukaryotic DNA replication has two proposed </w:t>
      </w:r>
      <w:r w:rsidR="00D46D1E">
        <w:rPr>
          <w:color w:val="000000"/>
        </w:rPr>
        <w:t>mechanisms:</w:t>
      </w:r>
      <w:r>
        <w:rPr>
          <w:color w:val="000000"/>
        </w:rPr>
        <w:t xml:space="preserve"> stochastic and deterministic. These proposed mechanisms differ based on their definitions of origins firing either earlier or later than others. </w:t>
      </w:r>
    </w:p>
    <w:p w14:paraId="31B28B13" w14:textId="77777777" w:rsidR="0034209D" w:rsidRPr="00CB769B" w:rsidRDefault="0034209D" w:rsidP="002F573D">
      <w:pPr>
        <w:pStyle w:val="Heading3"/>
        <w:spacing w:line="276" w:lineRule="auto"/>
      </w:pPr>
      <w:bookmarkStart w:id="17" w:name="_Toc102048539"/>
      <w:r w:rsidRPr="00CB769B">
        <w:t>Stochastic vs Deterministic</w:t>
      </w:r>
      <w:bookmarkEnd w:id="17"/>
    </w:p>
    <w:p w14:paraId="298E3843" w14:textId="12B4BB85" w:rsidR="0034209D" w:rsidRDefault="0034209D" w:rsidP="00D63BAC">
      <w:pPr>
        <w:pStyle w:val="NormalWeb"/>
        <w:spacing w:before="0" w:beforeAutospacing="0" w:after="0" w:afterAutospacing="0" w:line="276" w:lineRule="auto"/>
        <w:ind w:firstLine="90"/>
      </w:pPr>
      <w:r>
        <w:rPr>
          <w:color w:val="000000"/>
        </w:rPr>
        <w:t xml:space="preserve">The two different models define the term “early origin firing’ differently. The first model that was introduced was the deterministic model. The deterministic model determines origin firing by the </w:t>
      </w:r>
      <w:r w:rsidR="00D46D1E">
        <w:rPr>
          <w:color w:val="000000"/>
        </w:rPr>
        <w:t>parameter’s</w:t>
      </w:r>
      <w:r>
        <w:rPr>
          <w:color w:val="000000"/>
        </w:rPr>
        <w:t xml:space="preserve"> values and initial conditions</w:t>
      </w:r>
      <w:r w:rsidR="00D15BED">
        <w:rPr>
          <w:color w:val="000000"/>
        </w:rPr>
        <w:t xml:space="preserve"> (</w:t>
      </w:r>
      <w:proofErr w:type="spellStart"/>
      <w:r w:rsidR="00D15BED">
        <w:rPr>
          <w:color w:val="000000"/>
        </w:rPr>
        <w:t>Rhind</w:t>
      </w:r>
      <w:proofErr w:type="spellEnd"/>
      <w:r w:rsidR="005E6A60">
        <w:rPr>
          <w:color w:val="000000"/>
        </w:rPr>
        <w:t xml:space="preserve"> et al</w:t>
      </w:r>
      <w:r w:rsidR="00D15BED">
        <w:rPr>
          <w:color w:val="000000"/>
        </w:rPr>
        <w:t>, 2009)</w:t>
      </w:r>
      <w:r>
        <w:rPr>
          <w:color w:val="000000"/>
        </w:rPr>
        <w:t xml:space="preserve">. This model follows a stepwise protocol, where origins that are “early” are the ones that fire first, while the origins that are “late” fire afterward. The stochastic model proposes inherent randomness, insisting that origin firing wasn’t a stepwise procedure but rather a random phenomenon. In this model, origins fire on probability rather than </w:t>
      </w:r>
      <w:r w:rsidR="00D46D1E">
        <w:rPr>
          <w:color w:val="000000"/>
        </w:rPr>
        <w:t>stepwise</w:t>
      </w:r>
      <w:r>
        <w:rPr>
          <w:color w:val="000000"/>
        </w:rPr>
        <w:t>. The “earlier” are the ones that are considered most likely to fire, while those that fire “later” are less likely to fire. This model is more widely accepted, since it aligns with the eukaryotic replication is heterogenous, with each cell using a different combination of origins and demonstrating different patterns of replication (</w:t>
      </w:r>
      <w:r w:rsidR="00D15BED">
        <w:rPr>
          <w:color w:val="000000"/>
        </w:rPr>
        <w:t>Huberman,200</w:t>
      </w:r>
      <w:r w:rsidR="00763937">
        <w:rPr>
          <w:color w:val="000000"/>
        </w:rPr>
        <w:t>6</w:t>
      </w:r>
      <w:r>
        <w:rPr>
          <w:color w:val="000000"/>
        </w:rPr>
        <w:t>). </w:t>
      </w:r>
    </w:p>
    <w:p w14:paraId="50112C71" w14:textId="77777777" w:rsidR="0034209D" w:rsidRPr="00D46D1E" w:rsidRDefault="0034209D" w:rsidP="002F573D">
      <w:pPr>
        <w:pStyle w:val="Heading3"/>
        <w:spacing w:line="276" w:lineRule="auto"/>
      </w:pPr>
      <w:bookmarkStart w:id="18" w:name="_Toc102048540"/>
      <w:r w:rsidRPr="00D46D1E">
        <w:t>Stochastic Increased Efficiency Model</w:t>
      </w:r>
      <w:bookmarkEnd w:id="18"/>
      <w:r w:rsidRPr="00D46D1E">
        <w:t> </w:t>
      </w:r>
    </w:p>
    <w:p w14:paraId="3DE2DD8B" w14:textId="2F29D3F6" w:rsidR="0034209D" w:rsidRDefault="0034209D" w:rsidP="002F573D">
      <w:pPr>
        <w:pStyle w:val="NormalWeb"/>
        <w:spacing w:before="0" w:beforeAutospacing="0" w:after="0" w:afterAutospacing="0" w:line="276" w:lineRule="auto"/>
        <w:ind w:firstLine="180"/>
        <w:rPr>
          <w:color w:val="000000"/>
        </w:rPr>
      </w:pPr>
      <w:r>
        <w:rPr>
          <w:color w:val="000000"/>
        </w:rPr>
        <w:t>The stochastic increased efficiency model looks to use polymerase recycling to increase the efficiency of late firing in the S-phase in response to the random gap problem. The random gap problem is a large gap between origin firing that take a long time to replicate, causing a decrease in replication efficiency (</w:t>
      </w:r>
      <w:r w:rsidR="00561F28">
        <w:rPr>
          <w:color w:val="000000"/>
        </w:rPr>
        <w:t>Patel</w:t>
      </w:r>
      <w:r w:rsidR="0000437B">
        <w:rPr>
          <w:color w:val="000000"/>
        </w:rPr>
        <w:t xml:space="preserve"> et al</w:t>
      </w:r>
      <w:r w:rsidR="00561F28">
        <w:rPr>
          <w:color w:val="000000"/>
        </w:rPr>
        <w:t>,2005)</w:t>
      </w:r>
      <w:r>
        <w:rPr>
          <w:color w:val="000000"/>
        </w:rPr>
        <w:t>). It has been proposed that origin firing is limited by the ability to recruit essential replication-fork proteins</w:t>
      </w:r>
      <w:r w:rsidR="00D249C3">
        <w:rPr>
          <w:color w:val="000000"/>
        </w:rPr>
        <w:t xml:space="preserve"> </w:t>
      </w:r>
      <w:r>
        <w:rPr>
          <w:color w:val="000000"/>
        </w:rPr>
        <w:t>(</w:t>
      </w:r>
      <w:proofErr w:type="spellStart"/>
      <w:r w:rsidR="00D249C3">
        <w:rPr>
          <w:color w:val="000000"/>
        </w:rPr>
        <w:t>Rhind</w:t>
      </w:r>
      <w:proofErr w:type="spellEnd"/>
      <w:r w:rsidR="00D249C3">
        <w:rPr>
          <w:color w:val="000000"/>
        </w:rPr>
        <w:t xml:space="preserve"> et.al,2006</w:t>
      </w:r>
      <w:r>
        <w:rPr>
          <w:color w:val="000000"/>
        </w:rPr>
        <w:t>)</w:t>
      </w:r>
      <w:r w:rsidR="00EF71CA">
        <w:rPr>
          <w:color w:val="000000"/>
        </w:rPr>
        <w:t xml:space="preserve"> </w:t>
      </w:r>
      <w:r>
        <w:rPr>
          <w:color w:val="000000"/>
        </w:rPr>
        <w:t>(</w:t>
      </w:r>
      <w:r w:rsidR="0000437B">
        <w:rPr>
          <w:color w:val="000000"/>
        </w:rPr>
        <w:t>Huberman, 2006</w:t>
      </w:r>
      <w:r>
        <w:rPr>
          <w:color w:val="000000"/>
        </w:rPr>
        <w:t>). In this case, it refers primarily to polymerase, which is required for origin firing but limited in number. When forks merge, polymerases would be released and could be reenlisted to allow further origins to fire (</w:t>
      </w:r>
      <w:proofErr w:type="spellStart"/>
      <w:r w:rsidR="0000437B">
        <w:rPr>
          <w:color w:val="000000"/>
        </w:rPr>
        <w:t>MacAlpine</w:t>
      </w:r>
      <w:proofErr w:type="spellEnd"/>
      <w:r w:rsidR="00EF71CA">
        <w:rPr>
          <w:color w:val="000000"/>
        </w:rPr>
        <w:t>, 2021</w:t>
      </w:r>
      <w:r>
        <w:rPr>
          <w:color w:val="000000"/>
        </w:rPr>
        <w:t>). </w:t>
      </w:r>
    </w:p>
    <w:p w14:paraId="586D4D33" w14:textId="77777777" w:rsidR="00D63BAC" w:rsidRDefault="00D63BAC" w:rsidP="002F573D">
      <w:pPr>
        <w:pStyle w:val="NormalWeb"/>
        <w:spacing w:before="0" w:beforeAutospacing="0" w:after="0" w:afterAutospacing="0" w:line="276" w:lineRule="auto"/>
        <w:ind w:firstLine="180"/>
      </w:pPr>
    </w:p>
    <w:p w14:paraId="4359E5F4" w14:textId="65AAC42D" w:rsidR="0034209D" w:rsidRDefault="0034209D" w:rsidP="002F573D">
      <w:pPr>
        <w:pStyle w:val="NormalWeb"/>
        <w:spacing w:before="0" w:beforeAutospacing="0" w:after="0" w:afterAutospacing="0" w:line="276" w:lineRule="auto"/>
        <w:ind w:firstLine="180"/>
        <w:rPr>
          <w:color w:val="000000"/>
        </w:rPr>
      </w:pPr>
      <w:r>
        <w:rPr>
          <w:color w:val="000000"/>
        </w:rPr>
        <w:t>In doing such, one can have a roughly constant number of active replication forks throughout the S phase, as polymerases are recycled from old replication forks to new ones, allowing maintenance of origin firing. Maintenance and increasing the percentage of potential origins would allow an increase in efficiency (</w:t>
      </w:r>
      <w:proofErr w:type="spellStart"/>
      <w:r w:rsidR="00EF71CA">
        <w:rPr>
          <w:color w:val="000000"/>
        </w:rPr>
        <w:t>MacAlpine</w:t>
      </w:r>
      <w:proofErr w:type="spellEnd"/>
      <w:r w:rsidR="00EF71CA">
        <w:rPr>
          <w:color w:val="000000"/>
        </w:rPr>
        <w:t>, 2021</w:t>
      </w:r>
      <w:r>
        <w:rPr>
          <w:color w:val="000000"/>
        </w:rPr>
        <w:t>). Increasing origin efficiency would, in turn, ensure that random gaps in replication would be efficiently closed by new origin firing.</w:t>
      </w:r>
    </w:p>
    <w:p w14:paraId="6334DAA5" w14:textId="77777777" w:rsidR="00D63BAC" w:rsidRDefault="00D63BAC" w:rsidP="002F573D">
      <w:pPr>
        <w:pStyle w:val="NormalWeb"/>
        <w:spacing w:before="0" w:beforeAutospacing="0" w:after="0" w:afterAutospacing="0" w:line="276" w:lineRule="auto"/>
        <w:ind w:firstLine="180"/>
      </w:pPr>
    </w:p>
    <w:p w14:paraId="37CA688D" w14:textId="118B3B1B" w:rsidR="00727460" w:rsidRPr="002F573D" w:rsidRDefault="0034209D" w:rsidP="002F573D">
      <w:pPr>
        <w:pStyle w:val="NormalWeb"/>
        <w:spacing w:before="0" w:beforeAutospacing="0" w:after="0" w:afterAutospacing="0" w:line="276" w:lineRule="auto"/>
        <w:ind w:firstLine="180"/>
      </w:pPr>
      <w:r>
        <w:rPr>
          <w:color w:val="000000"/>
        </w:rPr>
        <w:t xml:space="preserve">Consistent numbers of replication forks and the increasing density of origin firing predicted by this model have been observed in budding yeast and frog embryonic cells. Through the increased </w:t>
      </w:r>
      <w:r>
        <w:rPr>
          <w:color w:val="000000"/>
        </w:rPr>
        <w:lastRenderedPageBreak/>
        <w:t xml:space="preserve">efficiency model, the problem of the random gap problem is rectified by identifying the mechanisms by which some cells rectify this gap problem </w:t>
      </w:r>
      <w:r w:rsidR="00EF71CA">
        <w:rPr>
          <w:color w:val="000000"/>
        </w:rPr>
        <w:t>(Huberman, 2006</w:t>
      </w:r>
      <w:r>
        <w:rPr>
          <w:color w:val="000000"/>
        </w:rPr>
        <w:t>).</w:t>
      </w:r>
    </w:p>
    <w:p w14:paraId="6A6C46C3" w14:textId="5D750A35" w:rsidR="0034209D" w:rsidRPr="00D46D1E" w:rsidRDefault="0034209D" w:rsidP="002F573D">
      <w:pPr>
        <w:pStyle w:val="Heading3"/>
        <w:spacing w:line="276" w:lineRule="auto"/>
      </w:pPr>
      <w:bookmarkStart w:id="19" w:name="_Toc102048541"/>
      <w:r w:rsidRPr="00D46D1E">
        <w:t>Relative Efficiency Model</w:t>
      </w:r>
      <w:bookmarkEnd w:id="19"/>
    </w:p>
    <w:p w14:paraId="56E39150" w14:textId="7DB4E625" w:rsidR="0034209D" w:rsidRDefault="0034209D" w:rsidP="002F573D">
      <w:pPr>
        <w:pStyle w:val="NormalWeb"/>
        <w:spacing w:before="0" w:beforeAutospacing="0" w:after="0" w:afterAutospacing="0" w:line="276" w:lineRule="auto"/>
        <w:ind w:firstLine="180"/>
        <w:rPr>
          <w:color w:val="000000"/>
        </w:rPr>
      </w:pPr>
      <w:r>
        <w:rPr>
          <w:color w:val="000000"/>
        </w:rPr>
        <w:t>Although the previous model provides a solution for the random gap problem seen in frog and yeast cells, it is not consistent with the definitive patterns seen in other models and studies. To resolve this, the relative efficiency model incorporates the idea of late efficient origins and stochastic origin firing. Early and late firing are not mapped, instead, they are associated with broader regions of replicating DNA segments. In this model, origins fire stochastically, but the regions with efficient origins replicate early due to onset early firing. The model does not require the identification of individual mechanisms of S-phase timing and firing in defined time sets</w:t>
      </w:r>
      <w:r w:rsidR="00201877">
        <w:rPr>
          <w:color w:val="000000"/>
        </w:rPr>
        <w:t xml:space="preserve"> (Huberman, 2006).</w:t>
      </w:r>
    </w:p>
    <w:p w14:paraId="1FEE2376" w14:textId="77777777" w:rsidR="00D63BAC" w:rsidRDefault="00D63BAC" w:rsidP="002F573D">
      <w:pPr>
        <w:pStyle w:val="NormalWeb"/>
        <w:spacing w:before="0" w:beforeAutospacing="0" w:after="0" w:afterAutospacing="0" w:line="276" w:lineRule="auto"/>
        <w:ind w:firstLine="180"/>
      </w:pPr>
    </w:p>
    <w:p w14:paraId="0D56DF39" w14:textId="6575822A" w:rsidR="0034209D" w:rsidRDefault="0034209D" w:rsidP="00D63BAC">
      <w:pPr>
        <w:pStyle w:val="NormalWeb"/>
        <w:spacing w:before="0" w:beforeAutospacing="0" w:after="0" w:afterAutospacing="0" w:line="276" w:lineRule="auto"/>
        <w:ind w:firstLine="270"/>
      </w:pPr>
      <w:r>
        <w:rPr>
          <w:color w:val="000000"/>
        </w:rPr>
        <w:t xml:space="preserve">Although these methods allow insight into the functionality and timing of origins, they lack the evidence that comes </w:t>
      </w:r>
      <w:r w:rsidR="00D46D1E">
        <w:rPr>
          <w:color w:val="000000"/>
        </w:rPr>
        <w:t>because of</w:t>
      </w:r>
      <w:r>
        <w:rPr>
          <w:color w:val="000000"/>
        </w:rPr>
        <w:t xml:space="preserve"> high-resolution kinetic studies. It provides a plausible explanation for the organization of timing and stochastic firing, however, cannot identify specific origins or measure the efficiency of different points in the S-phase. Overall, this model adds replication timing to the stochastic model, making it more realistic of what occurs during DNA replication (</w:t>
      </w:r>
      <w:proofErr w:type="spellStart"/>
      <w:r w:rsidR="00145E6D">
        <w:rPr>
          <w:color w:val="000000"/>
        </w:rPr>
        <w:t>Rhind</w:t>
      </w:r>
      <w:proofErr w:type="spellEnd"/>
      <w:r w:rsidR="00145E6D">
        <w:rPr>
          <w:color w:val="000000"/>
        </w:rPr>
        <w:t xml:space="preserve"> et.al 2009</w:t>
      </w:r>
      <w:r>
        <w:rPr>
          <w:color w:val="000000"/>
        </w:rPr>
        <w:t>)</w:t>
      </w:r>
      <w:r w:rsidR="00201877">
        <w:rPr>
          <w:color w:val="000000"/>
        </w:rPr>
        <w:t xml:space="preserve"> </w:t>
      </w:r>
      <w:r>
        <w:rPr>
          <w:color w:val="000000"/>
        </w:rPr>
        <w:t>(</w:t>
      </w:r>
      <w:r w:rsidR="00145E6D">
        <w:rPr>
          <w:color w:val="000000"/>
        </w:rPr>
        <w:t>Huberman, 2006</w:t>
      </w:r>
      <w:r>
        <w:rPr>
          <w:color w:val="000000"/>
        </w:rPr>
        <w:t>).</w:t>
      </w:r>
    </w:p>
    <w:p w14:paraId="58BE3C16" w14:textId="77777777" w:rsidR="0034209D" w:rsidRPr="00CB769B" w:rsidRDefault="0034209D" w:rsidP="002F573D">
      <w:pPr>
        <w:pStyle w:val="Heading2"/>
        <w:spacing w:line="276" w:lineRule="auto"/>
        <w:rPr>
          <w:color w:val="4472C4" w:themeColor="accent1"/>
        </w:rPr>
      </w:pPr>
      <w:bookmarkStart w:id="20" w:name="_Toc101972224"/>
      <w:bookmarkStart w:id="21" w:name="_Toc102048542"/>
      <w:r w:rsidRPr="00CB769B">
        <w:rPr>
          <w:color w:val="4472C4" w:themeColor="accent1"/>
        </w:rPr>
        <w:t>Methods of Analyzing</w:t>
      </w:r>
      <w:bookmarkEnd w:id="20"/>
      <w:bookmarkEnd w:id="21"/>
    </w:p>
    <w:p w14:paraId="1514028B" w14:textId="77777777" w:rsidR="0034209D" w:rsidRPr="00D46D1E" w:rsidRDefault="0034209D" w:rsidP="002F573D">
      <w:pPr>
        <w:pStyle w:val="Heading3"/>
        <w:spacing w:line="276" w:lineRule="auto"/>
      </w:pPr>
      <w:bookmarkStart w:id="22" w:name="_Toc102048543"/>
      <w:r w:rsidRPr="00D46D1E">
        <w:t>Bulk vs Single Molecule</w:t>
      </w:r>
      <w:bookmarkEnd w:id="22"/>
    </w:p>
    <w:p w14:paraId="3BB24D36" w14:textId="680F7739" w:rsidR="0034209D" w:rsidRDefault="0034209D" w:rsidP="002F573D">
      <w:pPr>
        <w:pStyle w:val="NormalWeb"/>
        <w:spacing w:before="0" w:beforeAutospacing="0" w:after="0" w:afterAutospacing="0" w:line="276" w:lineRule="auto"/>
        <w:ind w:firstLine="90"/>
        <w:rPr>
          <w:color w:val="000000"/>
        </w:rPr>
      </w:pPr>
      <w:r>
        <w:rPr>
          <w:color w:val="000000"/>
        </w:rPr>
        <w:t xml:space="preserve">Approaches to looking at cellular events can be separated into two separate </w:t>
      </w:r>
      <w:r w:rsidR="00575AE2">
        <w:rPr>
          <w:color w:val="000000"/>
        </w:rPr>
        <w:t>methodologies:</w:t>
      </w:r>
      <w:r>
        <w:rPr>
          <w:color w:val="000000"/>
        </w:rPr>
        <w:t xml:space="preserve"> bulk and single cell. The difference between the two is that single-cell analysis </w:t>
      </w:r>
      <w:r w:rsidR="00B11EA3">
        <w:rPr>
          <w:color w:val="000000"/>
        </w:rPr>
        <w:t>can</w:t>
      </w:r>
      <w:r>
        <w:rPr>
          <w:color w:val="000000"/>
        </w:rPr>
        <w:t xml:space="preserve"> represent a single cell behavior, while the bulk methodology represents a population of cells. Bulk methods (Figure 2b) look to measure the average behavior of a population </w:t>
      </w:r>
      <w:r w:rsidR="00B11EA3">
        <w:rPr>
          <w:color w:val="000000"/>
        </w:rPr>
        <w:t>to</w:t>
      </w:r>
      <w:r>
        <w:rPr>
          <w:color w:val="000000"/>
        </w:rPr>
        <w:t xml:space="preserve"> identify differences between the sample conditions. In contrast, single-cell methods (Figure 2a) measure the behavior of individual cells, or in this case single origins, in a sample to be able to identify differences between cell types and states. In comparison, bulk analysis is analogous to knowing the average height of everyone on the basketball team; it only gives you a big picture and provides little detail as to the actual heights of the team. Single-cell molecule analysis would allow for every height of the basketball players, which would allow for a more accurate estimation as to what the heights were on the team </w:t>
      </w:r>
    </w:p>
    <w:p w14:paraId="345DAA1D" w14:textId="77777777" w:rsidR="00D63BAC" w:rsidRDefault="00D63BAC" w:rsidP="002F573D">
      <w:pPr>
        <w:pStyle w:val="NormalWeb"/>
        <w:spacing w:before="0" w:beforeAutospacing="0" w:after="0" w:afterAutospacing="0" w:line="276" w:lineRule="auto"/>
        <w:ind w:firstLine="90"/>
      </w:pPr>
    </w:p>
    <w:p w14:paraId="4248EBBB" w14:textId="5AF5BB6D" w:rsidR="0034209D" w:rsidRDefault="0034209D" w:rsidP="002F573D">
      <w:pPr>
        <w:pStyle w:val="NormalWeb"/>
        <w:spacing w:before="0" w:beforeAutospacing="0" w:after="0" w:afterAutospacing="0" w:line="276" w:lineRule="auto"/>
        <w:ind w:firstLine="90"/>
      </w:pPr>
      <w:r>
        <w:rPr>
          <w:color w:val="000000"/>
        </w:rPr>
        <w:t xml:space="preserve">Single-cell analysis is seen to have benefits over the bulk methodology, as it allows for a better understanding of distribution, cell stress, nutrition, and development of the cells. This approach </w:t>
      </w:r>
      <w:r>
        <w:rPr>
          <w:color w:val="000000"/>
        </w:rPr>
        <w:lastRenderedPageBreak/>
        <w:t xml:space="preserve">can provide more accurate analytical procedures, such as in the fields of developmental biology and evolution. </w:t>
      </w:r>
    </w:p>
    <w:p w14:paraId="028839FB" w14:textId="4C178804" w:rsidR="0034209D" w:rsidRDefault="0034209D" w:rsidP="002F573D">
      <w:pPr>
        <w:pStyle w:val="NormalWeb"/>
        <w:spacing w:before="0" w:beforeAutospacing="0" w:after="0" w:afterAutospacing="0" w:line="276" w:lineRule="auto"/>
        <w:ind w:firstLine="180"/>
      </w:pPr>
      <w:r>
        <w:rPr>
          <w:color w:val="000000"/>
        </w:rPr>
        <w:t>This specific study chose single-cell analysis based on its ability to study correlation. In contrast to the bulk methodology, a single-cell approach allows for the tracking of specific origins and the ability to draw correlations from these data sets (</w:t>
      </w:r>
      <w:proofErr w:type="spellStart"/>
      <w:r w:rsidR="00201877">
        <w:rPr>
          <w:color w:val="000000"/>
        </w:rPr>
        <w:t>Oshige</w:t>
      </w:r>
      <w:proofErr w:type="spellEnd"/>
      <w:r w:rsidR="00201877">
        <w:rPr>
          <w:color w:val="000000"/>
        </w:rPr>
        <w:t xml:space="preserve"> et al, 2010</w:t>
      </w:r>
      <w:r>
        <w:rPr>
          <w:color w:val="000000"/>
        </w:rPr>
        <w:t>). By working from specific locations instead of an average, we can study the fine details to create a better visual of what's occurring and study the kinetics of cellular development.  </w:t>
      </w:r>
    </w:p>
    <w:p w14:paraId="3F250BE1" w14:textId="77777777" w:rsidR="0034209D" w:rsidRDefault="0034209D" w:rsidP="002F573D">
      <w:pPr>
        <w:spacing w:line="276" w:lineRule="auto"/>
      </w:pPr>
    </w:p>
    <w:p w14:paraId="0B458B57" w14:textId="6DA457F1" w:rsidR="0034209D" w:rsidRDefault="0034209D" w:rsidP="002F573D">
      <w:pPr>
        <w:pStyle w:val="NormalWeb"/>
        <w:spacing w:before="0" w:beforeAutospacing="0" w:after="0" w:afterAutospacing="0" w:line="276" w:lineRule="auto"/>
        <w:ind w:firstLine="180"/>
        <w:jc w:val="center"/>
      </w:pPr>
      <w:r>
        <w:rPr>
          <w:rFonts w:ascii="Arial" w:hAnsi="Arial" w:cs="Arial"/>
          <w:noProof/>
          <w:color w:val="000000"/>
          <w:bdr w:val="none" w:sz="0" w:space="0" w:color="auto" w:frame="1"/>
        </w:rPr>
        <w:drawing>
          <wp:inline distT="0" distB="0" distL="0" distR="0" wp14:anchorId="2DE34C3B" wp14:editId="5439CF79">
            <wp:extent cx="4807653" cy="4893945"/>
            <wp:effectExtent l="0" t="0" r="0" b="1905"/>
            <wp:docPr id="10" name="Picture 10"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4649" cy="4911246"/>
                    </a:xfrm>
                    <a:prstGeom prst="rect">
                      <a:avLst/>
                    </a:prstGeom>
                    <a:noFill/>
                    <a:ln>
                      <a:noFill/>
                    </a:ln>
                  </pic:spPr>
                </pic:pic>
              </a:graphicData>
            </a:graphic>
          </wp:inline>
        </w:drawing>
      </w:r>
    </w:p>
    <w:p w14:paraId="05FF2F7F" w14:textId="28DD1958" w:rsidR="0034209D" w:rsidRPr="00D46D1E" w:rsidRDefault="0034209D" w:rsidP="002F573D">
      <w:pPr>
        <w:pStyle w:val="Heading5"/>
        <w:spacing w:line="276" w:lineRule="auto"/>
        <w:rPr>
          <w:i/>
          <w:iCs/>
        </w:rPr>
      </w:pPr>
      <w:r w:rsidRPr="00D46D1E">
        <w:rPr>
          <w:b/>
          <w:bCs/>
          <w:i/>
          <w:iCs/>
        </w:rPr>
        <w:t>Figure 2:</w:t>
      </w:r>
      <w:r w:rsidRPr="00D46D1E">
        <w:rPr>
          <w:i/>
          <w:iCs/>
        </w:rPr>
        <w:t xml:space="preserve"> </w:t>
      </w:r>
      <w:r w:rsidRPr="00D46D1E">
        <w:rPr>
          <w:b/>
          <w:bCs/>
          <w:i/>
          <w:iCs/>
        </w:rPr>
        <w:t>A. Single-Cell Analysis</w:t>
      </w:r>
      <w:r w:rsidR="00D46D1E">
        <w:rPr>
          <w:i/>
          <w:iCs/>
        </w:rPr>
        <w:t>-</w:t>
      </w:r>
      <w:r w:rsidRPr="00D46D1E">
        <w:rPr>
          <w:i/>
          <w:iCs/>
        </w:rPr>
        <w:t xml:space="preserve">This model demonstrates the method of single-cell analysis. The specific location of DNA can be identified and compared. </w:t>
      </w:r>
      <w:r w:rsidRPr="00D46D1E">
        <w:rPr>
          <w:b/>
          <w:bCs/>
          <w:i/>
          <w:iCs/>
        </w:rPr>
        <w:t xml:space="preserve">B. </w:t>
      </w:r>
      <w:r w:rsidRPr="00D46D1E">
        <w:rPr>
          <w:b/>
          <w:bCs/>
          <w:i/>
          <w:iCs/>
          <w:shd w:val="clear" w:color="auto" w:fill="FFFFFF"/>
        </w:rPr>
        <w:t>Bulk Cell Analysis</w:t>
      </w:r>
      <w:r w:rsidR="00D46D1E">
        <w:rPr>
          <w:i/>
          <w:iCs/>
          <w:shd w:val="clear" w:color="auto" w:fill="FFFFFF"/>
        </w:rPr>
        <w:t>-</w:t>
      </w:r>
      <w:r w:rsidRPr="00D46D1E">
        <w:rPr>
          <w:i/>
          <w:iCs/>
          <w:shd w:val="clear" w:color="auto" w:fill="FFFFFF"/>
        </w:rPr>
        <w:t xml:space="preserve"> This model demonstrates the method of bulk analysis, where the average can be taken. When compared with other methodologies, </w:t>
      </w:r>
      <w:r w:rsidR="00D46D1E" w:rsidRPr="00D46D1E">
        <w:rPr>
          <w:i/>
          <w:iCs/>
          <w:shd w:val="clear" w:color="auto" w:fill="FFFFFF"/>
        </w:rPr>
        <w:t>less</w:t>
      </w:r>
      <w:r w:rsidRPr="00D46D1E">
        <w:rPr>
          <w:i/>
          <w:iCs/>
          <w:shd w:val="clear" w:color="auto" w:fill="FFFFFF"/>
        </w:rPr>
        <w:t xml:space="preserve"> information is available. Identifying the difference between single and bulk cells is important, as single cell </w:t>
      </w:r>
      <w:r w:rsidR="00AD1AA1" w:rsidRPr="00D46D1E">
        <w:rPr>
          <w:i/>
          <w:iCs/>
          <w:shd w:val="clear" w:color="auto" w:fill="FFFFFF"/>
        </w:rPr>
        <w:t>allows</w:t>
      </w:r>
      <w:r w:rsidRPr="00D46D1E">
        <w:rPr>
          <w:i/>
          <w:iCs/>
          <w:shd w:val="clear" w:color="auto" w:fill="FFFFFF"/>
        </w:rPr>
        <w:t xml:space="preserve"> for specific location and kinetic tracking of origins, while bulk cannot. </w:t>
      </w:r>
    </w:p>
    <w:p w14:paraId="29CDD907" w14:textId="031F6FEB" w:rsidR="0034209D" w:rsidRDefault="0034209D" w:rsidP="002F573D">
      <w:pPr>
        <w:spacing w:after="240" w:line="276" w:lineRule="auto"/>
      </w:pPr>
      <w:r>
        <w:br/>
      </w:r>
      <w:r>
        <w:br/>
      </w:r>
    </w:p>
    <w:p w14:paraId="590BBCBB" w14:textId="77777777" w:rsidR="0034209D" w:rsidRPr="00D46D1E" w:rsidRDefault="0034209D" w:rsidP="002F573D">
      <w:pPr>
        <w:pStyle w:val="Heading3"/>
        <w:spacing w:line="276" w:lineRule="auto"/>
      </w:pPr>
      <w:bookmarkStart w:id="23" w:name="_Toc102048544"/>
      <w:r w:rsidRPr="00D46D1E">
        <w:lastRenderedPageBreak/>
        <w:t>DNA Combing</w:t>
      </w:r>
      <w:bookmarkEnd w:id="23"/>
    </w:p>
    <w:p w14:paraId="32542DF2" w14:textId="42AE885C" w:rsidR="0034209D" w:rsidRDefault="0034209D" w:rsidP="002F573D">
      <w:pPr>
        <w:pStyle w:val="NormalWeb"/>
        <w:spacing w:before="0" w:beforeAutospacing="0" w:after="0" w:afterAutospacing="0" w:line="276" w:lineRule="auto"/>
        <w:ind w:firstLine="180"/>
      </w:pPr>
      <w:r>
        <w:rPr>
          <w:color w:val="000000"/>
        </w:rPr>
        <w:t xml:space="preserve">A popular methodology that is used for single-cell analysis to study specific replication-initiation locations is DNA combing. DNA combing is the method of analyzing DNA by aligning single-molecule strands on the Mb (mega-base-pair) range on a </w:t>
      </w:r>
      <w:r w:rsidR="00727460">
        <w:rPr>
          <w:color w:val="000000"/>
        </w:rPr>
        <w:t>salinized</w:t>
      </w:r>
      <w:r>
        <w:rPr>
          <w:color w:val="000000"/>
        </w:rPr>
        <w:t xml:space="preserve"> glass coverslip as seen in Figure 3. These DNA strands are labeled in vivo with pulses of halogenated nucleotides, which allows the determination of the density and position of origins. In optimal conditions, the DNA is deposited in a linear fashion, enabling accurate measurements and optimal resolution</w:t>
      </w:r>
      <w:r w:rsidR="00D03CA1">
        <w:rPr>
          <w:color w:val="000000"/>
        </w:rPr>
        <w:t xml:space="preserve"> (</w:t>
      </w:r>
      <w:proofErr w:type="spellStart"/>
      <w:r w:rsidR="00D03CA1">
        <w:rPr>
          <w:color w:val="000000"/>
        </w:rPr>
        <w:t>Schowb</w:t>
      </w:r>
      <w:proofErr w:type="spellEnd"/>
      <w:r w:rsidR="00D03CA1">
        <w:rPr>
          <w:color w:val="000000"/>
        </w:rPr>
        <w:t>, 2</w:t>
      </w:r>
      <w:r w:rsidR="005E1C3B">
        <w:rPr>
          <w:color w:val="000000"/>
        </w:rPr>
        <w:t>009)</w:t>
      </w:r>
      <w:r>
        <w:rPr>
          <w:color w:val="000000"/>
        </w:rPr>
        <w:t xml:space="preserve">. Origins can be detected </w:t>
      </w:r>
      <w:r w:rsidR="005E1C3B">
        <w:rPr>
          <w:color w:val="000000"/>
        </w:rPr>
        <w:t>using</w:t>
      </w:r>
      <w:r>
        <w:rPr>
          <w:color w:val="000000"/>
        </w:rPr>
        <w:t xml:space="preserve"> synthetic nucleoside analogs of thymidine </w:t>
      </w:r>
      <w:proofErr w:type="spellStart"/>
      <w:r>
        <w:rPr>
          <w:color w:val="000000"/>
        </w:rPr>
        <w:t>IdU</w:t>
      </w:r>
      <w:proofErr w:type="spellEnd"/>
      <w:r>
        <w:rPr>
          <w:color w:val="000000"/>
        </w:rPr>
        <w:t xml:space="preserve">, </w:t>
      </w:r>
      <w:proofErr w:type="spellStart"/>
      <w:r>
        <w:rPr>
          <w:color w:val="000000"/>
        </w:rPr>
        <w:t>BrdU</w:t>
      </w:r>
      <w:proofErr w:type="spellEnd"/>
      <w:r>
        <w:rPr>
          <w:color w:val="000000"/>
        </w:rPr>
        <w:t xml:space="preserve">, </w:t>
      </w:r>
      <w:proofErr w:type="spellStart"/>
      <w:r>
        <w:rPr>
          <w:color w:val="000000"/>
        </w:rPr>
        <w:t>CldU</w:t>
      </w:r>
      <w:proofErr w:type="spellEnd"/>
      <w:r>
        <w:rPr>
          <w:color w:val="000000"/>
        </w:rPr>
        <w:t xml:space="preserve">, and </w:t>
      </w:r>
      <w:proofErr w:type="spellStart"/>
      <w:r>
        <w:rPr>
          <w:color w:val="000000"/>
        </w:rPr>
        <w:t>EdU</w:t>
      </w:r>
      <w:proofErr w:type="spellEnd"/>
      <w:r>
        <w:rPr>
          <w:color w:val="000000"/>
        </w:rPr>
        <w:t xml:space="preserve"> which are abbreviated names for </w:t>
      </w:r>
      <w:r>
        <w:rPr>
          <w:color w:val="000000"/>
          <w:shd w:val="clear" w:color="auto" w:fill="FFFFFF"/>
        </w:rPr>
        <w:t>5-Iodo-2′-deoxyuridine,</w:t>
      </w:r>
      <w:r>
        <w:rPr>
          <w:color w:val="000000"/>
        </w:rPr>
        <w:t xml:space="preserve"> </w:t>
      </w:r>
      <w:r>
        <w:rPr>
          <w:color w:val="000000"/>
          <w:shd w:val="clear" w:color="auto" w:fill="FFFFFF"/>
        </w:rPr>
        <w:t>5-Bromo-2'-deoxyuridine, 5-chloro-2′-deoxyuridine</w:t>
      </w:r>
      <w:r>
        <w:rPr>
          <w:color w:val="000000"/>
        </w:rPr>
        <w:t xml:space="preserve"> and 5-Ethynyl-2′-deoxyuridine</w:t>
      </w:r>
      <w:r w:rsidR="005E1C3B">
        <w:rPr>
          <w:color w:val="000000"/>
        </w:rPr>
        <w:t xml:space="preserve"> (</w:t>
      </w:r>
      <w:proofErr w:type="spellStart"/>
      <w:r w:rsidR="005E1C3B">
        <w:rPr>
          <w:color w:val="000000"/>
        </w:rPr>
        <w:t>Oshige</w:t>
      </w:r>
      <w:proofErr w:type="spellEnd"/>
      <w:r w:rsidR="005E1C3B">
        <w:rPr>
          <w:color w:val="000000"/>
        </w:rPr>
        <w:t xml:space="preserve"> et al, 2010)</w:t>
      </w:r>
      <w:r w:rsidR="00D870D7">
        <w:rPr>
          <w:color w:val="000000"/>
        </w:rPr>
        <w:t xml:space="preserve"> </w:t>
      </w:r>
      <w:proofErr w:type="gramStart"/>
      <w:r w:rsidR="005E1C3B">
        <w:rPr>
          <w:color w:val="000000"/>
        </w:rPr>
        <w:t>(</w:t>
      </w:r>
      <w:r w:rsidR="005E1C3B" w:rsidRPr="006309E6">
        <w:rPr>
          <w:color w:val="000000"/>
        </w:rPr>
        <w:t xml:space="preserve"> </w:t>
      </w:r>
      <w:proofErr w:type="spellStart"/>
      <w:r w:rsidR="005E1C3B" w:rsidRPr="001C24D8">
        <w:rPr>
          <w:color w:val="000000"/>
        </w:rPr>
        <w:t>Czajkowsky</w:t>
      </w:r>
      <w:proofErr w:type="spellEnd"/>
      <w:proofErr w:type="gramEnd"/>
      <w:r w:rsidR="005E1C3B">
        <w:rPr>
          <w:color w:val="000000"/>
        </w:rPr>
        <w:t xml:space="preserve"> et al, 2008).</w:t>
      </w:r>
    </w:p>
    <w:p w14:paraId="627378D9" w14:textId="1018B212" w:rsidR="0034209D" w:rsidRDefault="0034209D" w:rsidP="002F573D">
      <w:pPr>
        <w:pStyle w:val="NormalWeb"/>
        <w:spacing w:before="0" w:beforeAutospacing="0" w:after="0" w:afterAutospacing="0" w:line="276" w:lineRule="auto"/>
        <w:ind w:firstLine="180"/>
        <w:jc w:val="center"/>
      </w:pPr>
      <w:r>
        <w:rPr>
          <w:rFonts w:ascii="Arial" w:hAnsi="Arial" w:cs="Arial"/>
          <w:noProof/>
          <w:color w:val="000000"/>
          <w:bdr w:val="none" w:sz="0" w:space="0" w:color="auto" w:frame="1"/>
        </w:rPr>
        <w:drawing>
          <wp:inline distT="0" distB="0" distL="0" distR="0" wp14:anchorId="03F031C7" wp14:editId="073ED25B">
            <wp:extent cx="2575560" cy="3246120"/>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5560" cy="3246120"/>
                    </a:xfrm>
                    <a:prstGeom prst="rect">
                      <a:avLst/>
                    </a:prstGeom>
                    <a:noFill/>
                    <a:ln>
                      <a:noFill/>
                    </a:ln>
                  </pic:spPr>
                </pic:pic>
              </a:graphicData>
            </a:graphic>
          </wp:inline>
        </w:drawing>
      </w:r>
    </w:p>
    <w:p w14:paraId="02F0182B" w14:textId="77777777" w:rsidR="0034209D" w:rsidRDefault="0034209D" w:rsidP="002F573D">
      <w:pPr>
        <w:spacing w:line="276" w:lineRule="auto"/>
      </w:pPr>
    </w:p>
    <w:p w14:paraId="4FDBDC59" w14:textId="425A0905" w:rsidR="0034209D" w:rsidRPr="00D46D1E" w:rsidRDefault="0034209D" w:rsidP="002F573D">
      <w:pPr>
        <w:pStyle w:val="Heading5"/>
        <w:spacing w:line="276" w:lineRule="auto"/>
        <w:rPr>
          <w:i/>
          <w:iCs/>
        </w:rPr>
      </w:pPr>
      <w:r w:rsidRPr="00D46D1E">
        <w:rPr>
          <w:b/>
          <w:bCs/>
          <w:i/>
          <w:iCs/>
        </w:rPr>
        <w:t>Figure 3:</w:t>
      </w:r>
      <w:r w:rsidR="00D46D1E">
        <w:rPr>
          <w:i/>
          <w:iCs/>
        </w:rPr>
        <w:t xml:space="preserve"> </w:t>
      </w:r>
      <w:r w:rsidRPr="00D46D1E">
        <w:rPr>
          <w:b/>
          <w:bCs/>
          <w:i/>
          <w:iCs/>
          <w:shd w:val="clear" w:color="auto" w:fill="FFFFFF"/>
        </w:rPr>
        <w:t>Methodology of DNA combing</w:t>
      </w:r>
      <w:r w:rsidRPr="00D46D1E">
        <w:rPr>
          <w:i/>
          <w:iCs/>
          <w:shd w:val="clear" w:color="auto" w:fill="FFFFFF"/>
        </w:rPr>
        <w:t>- DNA combing works by resuspending DNA in solvent and allowing it to adhere to a glass coverslip. The DNA, which is in single strand form and is pulse labeled with nucleosides, is then stretched underneath a microscope, allowing individual origins to be visible under specific UV</w:t>
      </w:r>
      <w:r w:rsidR="00D46D1E">
        <w:rPr>
          <w:i/>
          <w:iCs/>
          <w:shd w:val="clear" w:color="auto" w:fill="FFFFFF"/>
        </w:rPr>
        <w:t xml:space="preserve"> (</w:t>
      </w:r>
      <w:proofErr w:type="spellStart"/>
      <w:r w:rsidR="00D46D1E" w:rsidRPr="00D46D1E">
        <w:rPr>
          <w:i/>
          <w:iCs/>
          <w:shd w:val="clear" w:color="auto" w:fill="FFFFFF"/>
        </w:rPr>
        <w:t>Gueroui</w:t>
      </w:r>
      <w:proofErr w:type="spellEnd"/>
      <w:r w:rsidR="00A156AF">
        <w:rPr>
          <w:i/>
          <w:iCs/>
          <w:shd w:val="clear" w:color="auto" w:fill="FFFFFF"/>
        </w:rPr>
        <w:t>,</w:t>
      </w:r>
      <w:r w:rsidR="00D46D1E">
        <w:rPr>
          <w:i/>
          <w:iCs/>
          <w:shd w:val="clear" w:color="auto" w:fill="FFFFFF"/>
        </w:rPr>
        <w:t xml:space="preserve"> 2022)</w:t>
      </w:r>
      <w:r w:rsidRPr="00D46D1E">
        <w:rPr>
          <w:i/>
          <w:iCs/>
          <w:shd w:val="clear" w:color="auto" w:fill="FFFFFF"/>
        </w:rPr>
        <w:t>.</w:t>
      </w:r>
    </w:p>
    <w:p w14:paraId="40A11B0D" w14:textId="77777777" w:rsidR="0034209D" w:rsidRDefault="0034209D" w:rsidP="002F573D">
      <w:pPr>
        <w:spacing w:line="276" w:lineRule="auto"/>
      </w:pPr>
    </w:p>
    <w:p w14:paraId="7F978E98" w14:textId="7346C282" w:rsidR="0034209D" w:rsidRDefault="0034209D" w:rsidP="002F573D">
      <w:pPr>
        <w:pStyle w:val="NormalWeb"/>
        <w:spacing w:before="0" w:beforeAutospacing="0" w:after="0" w:afterAutospacing="0" w:line="276" w:lineRule="auto"/>
        <w:ind w:firstLine="180"/>
        <w:jc w:val="center"/>
      </w:pPr>
      <w:r>
        <w:rPr>
          <w:rFonts w:ascii="Arial" w:hAnsi="Arial" w:cs="Arial"/>
          <w:noProof/>
          <w:color w:val="000000"/>
          <w:bdr w:val="none" w:sz="0" w:space="0" w:color="auto" w:frame="1"/>
        </w:rPr>
        <w:lastRenderedPageBreak/>
        <w:drawing>
          <wp:inline distT="0" distB="0" distL="0" distR="0" wp14:anchorId="30B25791" wp14:editId="7966AEA4">
            <wp:extent cx="2964180" cy="4274820"/>
            <wp:effectExtent l="0" t="0" r="762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4180" cy="4274820"/>
                    </a:xfrm>
                    <a:prstGeom prst="rect">
                      <a:avLst/>
                    </a:prstGeom>
                    <a:noFill/>
                    <a:ln>
                      <a:noFill/>
                    </a:ln>
                  </pic:spPr>
                </pic:pic>
              </a:graphicData>
            </a:graphic>
          </wp:inline>
        </w:drawing>
      </w:r>
    </w:p>
    <w:p w14:paraId="74466B5B" w14:textId="59CDC9C6" w:rsidR="0034209D" w:rsidRPr="00EE570B" w:rsidRDefault="0034209D" w:rsidP="002F573D">
      <w:pPr>
        <w:pStyle w:val="Heading5"/>
        <w:spacing w:line="276" w:lineRule="auto"/>
        <w:rPr>
          <w:i/>
          <w:iCs/>
        </w:rPr>
      </w:pPr>
      <w:r w:rsidRPr="00EE570B">
        <w:rPr>
          <w:b/>
          <w:bCs/>
          <w:i/>
          <w:iCs/>
        </w:rPr>
        <w:t>Figure 4:</w:t>
      </w:r>
      <w:r w:rsidR="00EE570B" w:rsidRPr="00EE570B">
        <w:rPr>
          <w:b/>
          <w:bCs/>
          <w:i/>
          <w:iCs/>
        </w:rPr>
        <w:t xml:space="preserve"> </w:t>
      </w:r>
      <w:r w:rsidRPr="00EE570B">
        <w:rPr>
          <w:b/>
          <w:bCs/>
          <w:i/>
          <w:iCs/>
        </w:rPr>
        <w:t>DNA combing Analysis</w:t>
      </w:r>
      <w:r w:rsidR="00EE570B">
        <w:rPr>
          <w:i/>
          <w:iCs/>
        </w:rPr>
        <w:t>-</w:t>
      </w:r>
      <w:r w:rsidRPr="00EE570B">
        <w:rPr>
          <w:i/>
          <w:iCs/>
        </w:rPr>
        <w:t xml:space="preserve"> Demonstrates the analysis of DNA combing samples when stretched under a microscope, allowing single cell molecules analysis to occur</w:t>
      </w:r>
      <w:r w:rsidR="00EE570B" w:rsidRPr="00EE570B">
        <w:rPr>
          <w:i/>
          <w:iCs/>
        </w:rPr>
        <w:t xml:space="preserve"> (</w:t>
      </w:r>
      <w:proofErr w:type="spellStart"/>
      <w:r w:rsidR="00EE570B" w:rsidRPr="00EE570B">
        <w:rPr>
          <w:i/>
          <w:iCs/>
        </w:rPr>
        <w:t>Gerbi</w:t>
      </w:r>
      <w:proofErr w:type="spellEnd"/>
      <w:r w:rsidR="00EE570B" w:rsidRPr="00EE570B">
        <w:rPr>
          <w:i/>
          <w:iCs/>
        </w:rPr>
        <w:t>, 2015)</w:t>
      </w:r>
      <w:r w:rsidRPr="00EE570B">
        <w:rPr>
          <w:i/>
          <w:iCs/>
        </w:rPr>
        <w:t>.</w:t>
      </w:r>
    </w:p>
    <w:p w14:paraId="4C9171ED" w14:textId="4EDD4977" w:rsidR="0034209D" w:rsidRPr="00EE570B" w:rsidRDefault="0034209D" w:rsidP="002F573D">
      <w:pPr>
        <w:pStyle w:val="Heading3"/>
        <w:spacing w:line="276" w:lineRule="auto"/>
      </w:pPr>
      <w:bookmarkStart w:id="24" w:name="_Toc102048545"/>
      <w:r w:rsidRPr="00EE570B">
        <w:t>Thymidine Analogs</w:t>
      </w:r>
      <w:bookmarkEnd w:id="24"/>
      <w:r w:rsidRPr="00EE570B">
        <w:t> </w:t>
      </w:r>
    </w:p>
    <w:p w14:paraId="02CC7249" w14:textId="7379E1A0" w:rsidR="0034209D" w:rsidRDefault="0034209D" w:rsidP="002F573D">
      <w:pPr>
        <w:pStyle w:val="NormalWeb"/>
        <w:spacing w:before="0" w:beforeAutospacing="0" w:after="0" w:afterAutospacing="0" w:line="276" w:lineRule="auto"/>
        <w:ind w:firstLine="180"/>
      </w:pPr>
      <w:r>
        <w:rPr>
          <w:color w:val="000000"/>
        </w:rPr>
        <w:t xml:space="preserve">These analogs are commonly used to study cell proliferation in living tissues, with application to diagnosing cancer or developmental biology. These analogs are incorporated during the S-phase into the newly synthesized DNA molecules, replacing thymidine. Cells can then be visualized using immunofluorescence </w:t>
      </w:r>
      <w:r w:rsidR="00EE570B">
        <w:rPr>
          <w:color w:val="000000"/>
        </w:rPr>
        <w:t>to</w:t>
      </w:r>
      <w:r>
        <w:rPr>
          <w:color w:val="000000"/>
        </w:rPr>
        <w:t xml:space="preserve"> detect the sites where </w:t>
      </w:r>
      <w:proofErr w:type="spellStart"/>
      <w:r>
        <w:rPr>
          <w:color w:val="000000"/>
        </w:rPr>
        <w:t>BrdU</w:t>
      </w:r>
      <w:proofErr w:type="spellEnd"/>
      <w:r>
        <w:rPr>
          <w:color w:val="000000"/>
        </w:rPr>
        <w:t xml:space="preserve"> is present, as this indicates recent DNA replication or repair. </w:t>
      </w:r>
      <w:proofErr w:type="spellStart"/>
      <w:r>
        <w:rPr>
          <w:color w:val="000000"/>
        </w:rPr>
        <w:t>EdU</w:t>
      </w:r>
      <w:proofErr w:type="spellEnd"/>
      <w:r>
        <w:rPr>
          <w:color w:val="000000"/>
        </w:rPr>
        <w:t xml:space="preserve">, the abbreviated version of </w:t>
      </w:r>
      <w:r>
        <w:rPr>
          <w:color w:val="000000"/>
          <w:shd w:val="clear" w:color="auto" w:fill="FFFFFF"/>
        </w:rPr>
        <w:t xml:space="preserve">5-Ethynyl-2′-deoxyuridine, performs in a similar way. A distinction from the other nucleoside analogs is that </w:t>
      </w:r>
      <w:proofErr w:type="spellStart"/>
      <w:r>
        <w:rPr>
          <w:color w:val="000000"/>
          <w:shd w:val="clear" w:color="auto" w:fill="FFFFFF"/>
        </w:rPr>
        <w:t>EdU</w:t>
      </w:r>
      <w:proofErr w:type="spellEnd"/>
      <w:r>
        <w:rPr>
          <w:color w:val="000000"/>
          <w:shd w:val="clear" w:color="auto" w:fill="FFFFFF"/>
        </w:rPr>
        <w:t xml:space="preserve"> is detected with fluorescent </w:t>
      </w:r>
      <w:proofErr w:type="spellStart"/>
      <w:r>
        <w:rPr>
          <w:color w:val="000000"/>
          <w:shd w:val="clear" w:color="auto" w:fill="FFFFFF"/>
        </w:rPr>
        <w:t>azide</w:t>
      </w:r>
      <w:proofErr w:type="spellEnd"/>
      <w:r>
        <w:rPr>
          <w:color w:val="000000"/>
          <w:shd w:val="clear" w:color="auto" w:fill="FFFFFF"/>
        </w:rPr>
        <w:t xml:space="preserve">, which is covalently bonded using click-chemistry. Click-chemistry in this case refers to the copper-catalyzed bioconjugation, which can make this assay slightly toxic. </w:t>
      </w:r>
      <w:r>
        <w:rPr>
          <w:color w:val="000000"/>
        </w:rPr>
        <w:t xml:space="preserve">While effective, DNA combing is technically demanding due to the complex surface preparation and necessity for large amounts of starting material </w:t>
      </w:r>
      <w:proofErr w:type="gramStart"/>
      <w:r>
        <w:rPr>
          <w:color w:val="000000"/>
        </w:rPr>
        <w:t>in order to</w:t>
      </w:r>
      <w:proofErr w:type="gramEnd"/>
      <w:r>
        <w:rPr>
          <w:color w:val="000000"/>
        </w:rPr>
        <w:t xml:space="preserve"> achieve genomic-scaling mapping (</w:t>
      </w:r>
      <w:proofErr w:type="spellStart"/>
      <w:r w:rsidR="00201877">
        <w:rPr>
          <w:color w:val="000000"/>
        </w:rPr>
        <w:t>Oshige</w:t>
      </w:r>
      <w:proofErr w:type="spellEnd"/>
      <w:r w:rsidR="00201877">
        <w:rPr>
          <w:color w:val="000000"/>
        </w:rPr>
        <w:t xml:space="preserve"> et al, 2010</w:t>
      </w:r>
      <w:r>
        <w:rPr>
          <w:color w:val="000000"/>
        </w:rPr>
        <w:t>)</w:t>
      </w:r>
      <w:r w:rsidR="00D870D7">
        <w:rPr>
          <w:color w:val="000000"/>
        </w:rPr>
        <w:t xml:space="preserve"> </w:t>
      </w:r>
      <w:r>
        <w:rPr>
          <w:color w:val="000000"/>
        </w:rPr>
        <w:t>(</w:t>
      </w:r>
      <w:proofErr w:type="spellStart"/>
      <w:r w:rsidR="006309E6" w:rsidRPr="001C24D8">
        <w:rPr>
          <w:color w:val="000000"/>
        </w:rPr>
        <w:t>Czajkowsky</w:t>
      </w:r>
      <w:proofErr w:type="spellEnd"/>
      <w:r w:rsidR="006309E6">
        <w:rPr>
          <w:color w:val="000000"/>
        </w:rPr>
        <w:t xml:space="preserve"> et al, 2008</w:t>
      </w:r>
      <w:r>
        <w:rPr>
          <w:color w:val="000000"/>
        </w:rPr>
        <w:t>).</w:t>
      </w:r>
    </w:p>
    <w:p w14:paraId="7848FE2F" w14:textId="3AE28146" w:rsidR="0034209D" w:rsidRDefault="0034209D" w:rsidP="002F573D">
      <w:pPr>
        <w:pStyle w:val="NormalWeb"/>
        <w:spacing w:before="0" w:beforeAutospacing="0" w:after="0" w:afterAutospacing="0" w:line="276" w:lineRule="auto"/>
        <w:jc w:val="center"/>
      </w:pPr>
      <w:r>
        <w:rPr>
          <w:rFonts w:ascii="Arial" w:hAnsi="Arial" w:cs="Arial"/>
          <w:b/>
          <w:bCs/>
          <w:noProof/>
          <w:color w:val="000000"/>
          <w:bdr w:val="none" w:sz="0" w:space="0" w:color="auto" w:frame="1"/>
        </w:rPr>
        <w:lastRenderedPageBreak/>
        <w:drawing>
          <wp:inline distT="0" distB="0" distL="0" distR="0" wp14:anchorId="44D618F6" wp14:editId="39F659DF">
            <wp:extent cx="4617720" cy="3467100"/>
            <wp:effectExtent l="0" t="0" r="0" b="0"/>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7720" cy="3467100"/>
                    </a:xfrm>
                    <a:prstGeom prst="rect">
                      <a:avLst/>
                    </a:prstGeom>
                    <a:noFill/>
                    <a:ln>
                      <a:noFill/>
                    </a:ln>
                  </pic:spPr>
                </pic:pic>
              </a:graphicData>
            </a:graphic>
          </wp:inline>
        </w:drawing>
      </w:r>
    </w:p>
    <w:p w14:paraId="234C3C9A" w14:textId="06DEB458" w:rsidR="0034209D" w:rsidRDefault="0034209D" w:rsidP="002F573D">
      <w:pPr>
        <w:pStyle w:val="Heading5"/>
        <w:spacing w:line="276" w:lineRule="auto"/>
      </w:pPr>
      <w:r w:rsidRPr="00EE570B">
        <w:rPr>
          <w:b/>
          <w:bCs/>
        </w:rPr>
        <w:t xml:space="preserve">Figure 5: </w:t>
      </w:r>
      <w:r w:rsidR="00EE570B" w:rsidRPr="00EE570B">
        <w:rPr>
          <w:b/>
          <w:bCs/>
        </w:rPr>
        <w:t xml:space="preserve">Previously Known </w:t>
      </w:r>
      <w:r w:rsidRPr="00EE570B">
        <w:rPr>
          <w:b/>
          <w:bCs/>
        </w:rPr>
        <w:t>Nucleotides</w:t>
      </w:r>
      <w:r w:rsidR="00EE570B" w:rsidRPr="00EE570B">
        <w:rPr>
          <w:b/>
          <w:bCs/>
        </w:rPr>
        <w:t>-</w:t>
      </w:r>
      <w:r>
        <w:t xml:space="preserve">Previously used nucleotides that are functional in DNA </w:t>
      </w:r>
      <w:r w:rsidR="00EE570B">
        <w:t>combing but</w:t>
      </w:r>
      <w:r>
        <w:t xml:space="preserve"> are not compatible with the new method. This is due to their resonance structures being incompatible with double stranded DNA, which is required for ORM.</w:t>
      </w:r>
    </w:p>
    <w:p w14:paraId="3EBD9D2A" w14:textId="77777777" w:rsidR="0034209D" w:rsidRPr="00CB769B" w:rsidRDefault="0034209D" w:rsidP="002F573D">
      <w:pPr>
        <w:pStyle w:val="Heading2"/>
        <w:spacing w:line="276" w:lineRule="auto"/>
        <w:rPr>
          <w:color w:val="4472C4" w:themeColor="accent1"/>
        </w:rPr>
      </w:pPr>
      <w:bookmarkStart w:id="25" w:name="_Toc101972225"/>
      <w:bookmarkStart w:id="26" w:name="_Toc102048546"/>
      <w:r w:rsidRPr="00CB769B">
        <w:rPr>
          <w:color w:val="4472C4" w:themeColor="accent1"/>
        </w:rPr>
        <w:t>ORM - Optical Replication Mapping</w:t>
      </w:r>
      <w:bookmarkEnd w:id="25"/>
      <w:bookmarkEnd w:id="26"/>
      <w:r w:rsidRPr="00CB769B">
        <w:rPr>
          <w:color w:val="4472C4" w:themeColor="accent1"/>
        </w:rPr>
        <w:t> </w:t>
      </w:r>
    </w:p>
    <w:p w14:paraId="0B431719" w14:textId="48D93098" w:rsidR="0034209D" w:rsidRDefault="0034209D" w:rsidP="002F573D">
      <w:pPr>
        <w:pStyle w:val="NormalWeb"/>
        <w:spacing w:before="0" w:beforeAutospacing="0" w:after="0" w:afterAutospacing="0" w:line="276" w:lineRule="auto"/>
        <w:ind w:firstLine="180"/>
        <w:rPr>
          <w:color w:val="000000"/>
        </w:rPr>
      </w:pPr>
      <w:r>
        <w:rPr>
          <w:color w:val="000000"/>
        </w:rPr>
        <w:t xml:space="preserve">Due to the technical demand of DNA combing and the necessity for large amounts of starting material Optical Replication Mapping (ORM) was created. Instead of stretching the DNA on a coverslip, ORM is a high-throughput single-molecule approach that combines the </w:t>
      </w:r>
      <w:proofErr w:type="spellStart"/>
      <w:r>
        <w:rPr>
          <w:color w:val="000000"/>
        </w:rPr>
        <w:t>Bionano</w:t>
      </w:r>
      <w:proofErr w:type="spellEnd"/>
      <w:r>
        <w:rPr>
          <w:color w:val="000000"/>
        </w:rPr>
        <w:t xml:space="preserve"> Genomics approach with in vivo fluorescent nucleotide pulse labeling</w:t>
      </w:r>
      <w:r w:rsidR="00A47155">
        <w:rPr>
          <w:color w:val="000000"/>
        </w:rPr>
        <w:t xml:space="preserve"> (</w:t>
      </w:r>
      <w:proofErr w:type="spellStart"/>
      <w:r w:rsidR="00BB3982">
        <w:rPr>
          <w:color w:val="000000"/>
        </w:rPr>
        <w:t>Jeffet</w:t>
      </w:r>
      <w:proofErr w:type="spellEnd"/>
      <w:r w:rsidR="00FC5866">
        <w:rPr>
          <w:color w:val="000000"/>
        </w:rPr>
        <w:t xml:space="preserve"> et.al</w:t>
      </w:r>
      <w:r w:rsidR="00BB3982">
        <w:rPr>
          <w:color w:val="000000"/>
        </w:rPr>
        <w:t xml:space="preserve"> 2021)</w:t>
      </w:r>
      <w:r>
        <w:rPr>
          <w:color w:val="000000"/>
        </w:rPr>
        <w:t xml:space="preserve">. This approach involves taking long-labeled strands of double-stranded DNA labeled with nucleoside analogs and pulling them through </w:t>
      </w:r>
      <w:r w:rsidR="00B11EA3">
        <w:rPr>
          <w:color w:val="000000"/>
        </w:rPr>
        <w:t>linearized</w:t>
      </w:r>
      <w:r>
        <w:rPr>
          <w:color w:val="000000"/>
        </w:rPr>
        <w:t xml:space="preserve"> nanochannel arrays on a </w:t>
      </w:r>
      <w:proofErr w:type="spellStart"/>
      <w:r>
        <w:rPr>
          <w:color w:val="000000"/>
        </w:rPr>
        <w:t>Saphyr</w:t>
      </w:r>
      <w:proofErr w:type="spellEnd"/>
      <w:r>
        <w:rPr>
          <w:color w:val="000000"/>
        </w:rPr>
        <w:t xml:space="preserve"> chip. The </w:t>
      </w:r>
      <w:proofErr w:type="spellStart"/>
      <w:r>
        <w:rPr>
          <w:color w:val="000000"/>
        </w:rPr>
        <w:t>Saphyr</w:t>
      </w:r>
      <w:proofErr w:type="spellEnd"/>
      <w:r>
        <w:rPr>
          <w:color w:val="000000"/>
        </w:rPr>
        <w:t xml:space="preserve"> chip allows for automated high-resolution imaging, allowing the nucleoside labels to identify origins. </w:t>
      </w:r>
      <w:r w:rsidR="00C3055D">
        <w:rPr>
          <w:color w:val="000000"/>
        </w:rPr>
        <w:t xml:space="preserve">It covers </w:t>
      </w:r>
      <w:r w:rsidR="000F3918">
        <w:rPr>
          <w:color w:val="000000"/>
        </w:rPr>
        <w:t xml:space="preserve">2000-fold coverage of the human genome in approximately 300kb, which allow identification </w:t>
      </w:r>
      <w:r w:rsidR="0019405D">
        <w:rPr>
          <w:color w:val="000000"/>
        </w:rPr>
        <w:t xml:space="preserve">of </w:t>
      </w:r>
      <w:r w:rsidR="00D443D4">
        <w:rPr>
          <w:color w:val="000000"/>
        </w:rPr>
        <w:t xml:space="preserve">both </w:t>
      </w:r>
      <w:r w:rsidR="0019405D">
        <w:rPr>
          <w:color w:val="000000"/>
        </w:rPr>
        <w:t>origin sites</w:t>
      </w:r>
      <w:r w:rsidR="00D443D4">
        <w:rPr>
          <w:color w:val="000000"/>
        </w:rPr>
        <w:t xml:space="preserve"> and the probability of them firing with high confidence</w:t>
      </w:r>
      <w:r w:rsidR="00FC5866">
        <w:rPr>
          <w:color w:val="000000"/>
        </w:rPr>
        <w:t xml:space="preserve"> (</w:t>
      </w:r>
      <w:proofErr w:type="spellStart"/>
      <w:r w:rsidR="00FC5866">
        <w:rPr>
          <w:color w:val="000000"/>
        </w:rPr>
        <w:t>Je</w:t>
      </w:r>
      <w:r w:rsidR="00B00E5B">
        <w:rPr>
          <w:color w:val="000000"/>
        </w:rPr>
        <w:t>ffet</w:t>
      </w:r>
      <w:proofErr w:type="spellEnd"/>
      <w:r w:rsidR="00B00E5B">
        <w:rPr>
          <w:color w:val="000000"/>
        </w:rPr>
        <w:t xml:space="preserve"> et al </w:t>
      </w:r>
      <w:r w:rsidR="002760E6">
        <w:rPr>
          <w:color w:val="000000"/>
        </w:rPr>
        <w:t>2021) (</w:t>
      </w:r>
      <w:r w:rsidR="00B00E5B">
        <w:rPr>
          <w:color w:val="000000"/>
        </w:rPr>
        <w:t>Wang et al 2021)</w:t>
      </w:r>
      <w:r w:rsidR="00D443D4">
        <w:rPr>
          <w:color w:val="000000"/>
        </w:rPr>
        <w:t xml:space="preserve">. </w:t>
      </w:r>
    </w:p>
    <w:p w14:paraId="4F2A16AD" w14:textId="77777777" w:rsidR="00D63BAC" w:rsidRDefault="00D63BAC" w:rsidP="002F573D">
      <w:pPr>
        <w:pStyle w:val="NormalWeb"/>
        <w:spacing w:before="0" w:beforeAutospacing="0" w:after="0" w:afterAutospacing="0" w:line="276" w:lineRule="auto"/>
        <w:ind w:firstLine="180"/>
      </w:pPr>
    </w:p>
    <w:p w14:paraId="27D9CE75" w14:textId="74A7AA26" w:rsidR="0034209D" w:rsidRDefault="0034209D" w:rsidP="002F573D">
      <w:pPr>
        <w:pStyle w:val="NormalWeb"/>
        <w:spacing w:before="0" w:beforeAutospacing="0" w:after="0" w:afterAutospacing="0" w:line="276" w:lineRule="auto"/>
        <w:ind w:firstLine="180"/>
      </w:pPr>
      <w:r>
        <w:rPr>
          <w:color w:val="000000"/>
        </w:rPr>
        <w:t xml:space="preserve">This single-molecule approach can be used to map the early initiation sites and their firing probabilities. It allows for robust fiber mapping and significantly higher throughput, which has been used </w:t>
      </w:r>
      <w:r w:rsidR="00B00E5B">
        <w:rPr>
          <w:color w:val="000000"/>
        </w:rPr>
        <w:t>to</w:t>
      </w:r>
      <w:r>
        <w:rPr>
          <w:color w:val="000000"/>
        </w:rPr>
        <w:t xml:space="preserve"> allow single fiber analysis on mammalian genomes. Essentially, it performs a similar task that DNA combing does, however, ORM is more flexible than the previous methodology</w:t>
      </w:r>
      <w:r w:rsidR="002760E6">
        <w:rPr>
          <w:color w:val="000000"/>
        </w:rPr>
        <w:t xml:space="preserve"> (Wang et al 2020)</w:t>
      </w:r>
      <w:r>
        <w:rPr>
          <w:color w:val="000000"/>
        </w:rPr>
        <w:t>. Whereas DNA combing is a tedious and time-sensitive task, ORM provides a more user-friendly technology that is easier and faster to perform</w:t>
      </w:r>
      <w:r w:rsidR="002760E6">
        <w:rPr>
          <w:color w:val="000000"/>
        </w:rPr>
        <w:t xml:space="preserve"> (</w:t>
      </w:r>
      <w:proofErr w:type="spellStart"/>
      <w:r w:rsidR="002760E6">
        <w:rPr>
          <w:color w:val="000000"/>
        </w:rPr>
        <w:t>Jeffet</w:t>
      </w:r>
      <w:proofErr w:type="spellEnd"/>
      <w:r w:rsidR="002760E6">
        <w:rPr>
          <w:color w:val="000000"/>
        </w:rPr>
        <w:t xml:space="preserve"> et </w:t>
      </w:r>
      <w:r w:rsidR="00DE109E">
        <w:rPr>
          <w:color w:val="000000"/>
        </w:rPr>
        <w:t xml:space="preserve">al, </w:t>
      </w:r>
      <w:r w:rsidR="00DE109E">
        <w:rPr>
          <w:color w:val="000000"/>
        </w:rPr>
        <w:lastRenderedPageBreak/>
        <w:t>2021</w:t>
      </w:r>
      <w:r w:rsidR="008A3560">
        <w:rPr>
          <w:color w:val="000000"/>
        </w:rPr>
        <w:t>). Through</w:t>
      </w:r>
      <w:r>
        <w:rPr>
          <w:color w:val="000000"/>
        </w:rPr>
        <w:t xml:space="preserve"> this, we </w:t>
      </w:r>
      <w:r w:rsidR="002760E6">
        <w:rPr>
          <w:color w:val="000000"/>
        </w:rPr>
        <w:t>can</w:t>
      </w:r>
      <w:r>
        <w:rPr>
          <w:color w:val="000000"/>
        </w:rPr>
        <w:t xml:space="preserve"> avoid the technical shortcomings of DNA combing and combat the heterogeneous nature of eukaryotic cells’ replication kinetics and the low efficiency of initiation sites</w:t>
      </w:r>
      <w:r w:rsidR="002760E6">
        <w:rPr>
          <w:color w:val="000000"/>
        </w:rPr>
        <w:t xml:space="preserve">. </w:t>
      </w:r>
    </w:p>
    <w:p w14:paraId="69D23711" w14:textId="06479EEE" w:rsidR="0034209D" w:rsidRDefault="0034209D" w:rsidP="002F573D">
      <w:pPr>
        <w:pStyle w:val="NormalWeb"/>
        <w:spacing w:before="0" w:beforeAutospacing="0" w:after="0" w:afterAutospacing="0" w:line="276" w:lineRule="auto"/>
        <w:ind w:firstLine="180"/>
        <w:jc w:val="center"/>
      </w:pPr>
      <w:r>
        <w:rPr>
          <w:rFonts w:ascii="Arial" w:hAnsi="Arial" w:cs="Arial"/>
          <w:noProof/>
          <w:color w:val="000000"/>
          <w:bdr w:val="none" w:sz="0" w:space="0" w:color="auto" w:frame="1"/>
        </w:rPr>
        <w:drawing>
          <wp:inline distT="0" distB="0" distL="0" distR="0" wp14:anchorId="6488738D" wp14:editId="06FBD5D9">
            <wp:extent cx="3992880" cy="2369820"/>
            <wp:effectExtent l="0" t="0" r="7620" b="0"/>
            <wp:docPr id="6" name="Picture 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2880" cy="2369820"/>
                    </a:xfrm>
                    <a:prstGeom prst="rect">
                      <a:avLst/>
                    </a:prstGeom>
                    <a:noFill/>
                    <a:ln>
                      <a:noFill/>
                    </a:ln>
                  </pic:spPr>
                </pic:pic>
              </a:graphicData>
            </a:graphic>
          </wp:inline>
        </w:drawing>
      </w:r>
    </w:p>
    <w:p w14:paraId="40977BD7" w14:textId="77777777" w:rsidR="0034209D" w:rsidRDefault="0034209D" w:rsidP="002F573D">
      <w:pPr>
        <w:spacing w:line="276" w:lineRule="auto"/>
      </w:pPr>
    </w:p>
    <w:p w14:paraId="0E76B9D4" w14:textId="469E4706" w:rsidR="0034209D" w:rsidRPr="00EE570B" w:rsidRDefault="0034209D" w:rsidP="002F573D">
      <w:pPr>
        <w:pStyle w:val="Heading5"/>
        <w:spacing w:line="276" w:lineRule="auto"/>
        <w:rPr>
          <w:i/>
          <w:iCs/>
        </w:rPr>
      </w:pPr>
      <w:r w:rsidRPr="00EE570B">
        <w:rPr>
          <w:b/>
          <w:bCs/>
          <w:i/>
          <w:iCs/>
        </w:rPr>
        <w:t>Figure 6: ORM Analysis Workflow Walkthrough</w:t>
      </w:r>
      <w:r w:rsidR="00EE570B">
        <w:rPr>
          <w:i/>
          <w:iCs/>
        </w:rPr>
        <w:t xml:space="preserve">- </w:t>
      </w:r>
      <w:r w:rsidRPr="00EE570B">
        <w:rPr>
          <w:i/>
          <w:iCs/>
        </w:rPr>
        <w:t xml:space="preserve">Double Stranded DNA which has been pulse labeled is </w:t>
      </w:r>
      <w:r w:rsidR="00EE570B" w:rsidRPr="00EE570B">
        <w:rPr>
          <w:i/>
          <w:iCs/>
        </w:rPr>
        <w:t>resuspended</w:t>
      </w:r>
      <w:r w:rsidRPr="00EE570B">
        <w:rPr>
          <w:i/>
          <w:iCs/>
        </w:rPr>
        <w:t xml:space="preserve"> and stretched through </w:t>
      </w:r>
      <w:r w:rsidR="00EE570B" w:rsidRPr="00EE570B">
        <w:rPr>
          <w:i/>
          <w:iCs/>
        </w:rPr>
        <w:t>nanotubes</w:t>
      </w:r>
      <w:r w:rsidRPr="00EE570B">
        <w:rPr>
          <w:i/>
          <w:iCs/>
        </w:rPr>
        <w:t xml:space="preserve"> for </w:t>
      </w:r>
      <w:r w:rsidR="00EE570B" w:rsidRPr="00EE570B">
        <w:rPr>
          <w:i/>
          <w:iCs/>
        </w:rPr>
        <w:t>visualization (de Carli et al, 2015)</w:t>
      </w:r>
    </w:p>
    <w:p w14:paraId="7BC3C1DE" w14:textId="77777777" w:rsidR="0034209D" w:rsidRDefault="0034209D" w:rsidP="002F573D">
      <w:pPr>
        <w:spacing w:line="276" w:lineRule="auto"/>
      </w:pPr>
    </w:p>
    <w:p w14:paraId="1FF16945" w14:textId="7F5DB6FA" w:rsidR="0034209D" w:rsidRDefault="0034209D" w:rsidP="002F573D">
      <w:pPr>
        <w:pStyle w:val="NormalWeb"/>
        <w:spacing w:before="0" w:beforeAutospacing="0" w:after="0" w:afterAutospacing="0" w:line="276" w:lineRule="auto"/>
        <w:ind w:firstLine="180"/>
      </w:pPr>
      <w:r>
        <w:rPr>
          <w:color w:val="000000"/>
        </w:rPr>
        <w:t xml:space="preserve">The shortcoming of ORM is that nucleoside labels that were previously used are not compatible with this methodology. Antibody identification </w:t>
      </w:r>
      <w:r w:rsidR="00F25920">
        <w:rPr>
          <w:color w:val="000000"/>
        </w:rPr>
        <w:t xml:space="preserve">of </w:t>
      </w:r>
      <w:proofErr w:type="spellStart"/>
      <w:r w:rsidR="00F25920">
        <w:rPr>
          <w:color w:val="000000"/>
        </w:rPr>
        <w:t>BrdU</w:t>
      </w:r>
      <w:proofErr w:type="spellEnd"/>
      <w:r>
        <w:rPr>
          <w:color w:val="000000"/>
        </w:rPr>
        <w:t xml:space="preserve">, </w:t>
      </w:r>
      <w:proofErr w:type="spellStart"/>
      <w:r>
        <w:rPr>
          <w:color w:val="000000"/>
        </w:rPr>
        <w:t>IdU</w:t>
      </w:r>
      <w:proofErr w:type="spellEnd"/>
      <w:r>
        <w:rPr>
          <w:color w:val="000000"/>
        </w:rPr>
        <w:t xml:space="preserve">, and </w:t>
      </w:r>
      <w:proofErr w:type="spellStart"/>
      <w:r>
        <w:rPr>
          <w:color w:val="000000"/>
        </w:rPr>
        <w:t>CldU</w:t>
      </w:r>
      <w:proofErr w:type="spellEnd"/>
      <w:r>
        <w:rPr>
          <w:color w:val="000000"/>
        </w:rPr>
        <w:t xml:space="preserve"> requires denaturation of the DNA into single-stranded DNA which is incompatible with ORM. </w:t>
      </w:r>
      <w:proofErr w:type="spellStart"/>
      <w:r>
        <w:rPr>
          <w:color w:val="000000"/>
        </w:rPr>
        <w:t>EdU</w:t>
      </w:r>
      <w:proofErr w:type="spellEnd"/>
      <w:r>
        <w:rPr>
          <w:color w:val="000000"/>
        </w:rPr>
        <w:t xml:space="preserve"> is also incompatible because copper catalysis causes DNA damage, breaking up the DNA into small fibers. Currently, ORM is labeled by transfecting in fluorescence labels, however, this methodology isn’t generally applicable because it can only be used in cell lines that are easily </w:t>
      </w:r>
      <w:r w:rsidR="00EE570B">
        <w:rPr>
          <w:color w:val="000000"/>
        </w:rPr>
        <w:t>transfect able</w:t>
      </w:r>
      <w:r w:rsidR="00F25920">
        <w:rPr>
          <w:color w:val="000000"/>
        </w:rPr>
        <w:t xml:space="preserve"> (Bianco et al, 2012)</w:t>
      </w:r>
      <w:r>
        <w:rPr>
          <w:color w:val="000000"/>
        </w:rPr>
        <w:t>. </w:t>
      </w:r>
    </w:p>
    <w:p w14:paraId="0B604D38" w14:textId="77777777" w:rsidR="0034209D" w:rsidRPr="00EE570B" w:rsidRDefault="0034209D" w:rsidP="002F573D">
      <w:pPr>
        <w:pStyle w:val="Heading3"/>
        <w:spacing w:line="276" w:lineRule="auto"/>
      </w:pPr>
      <w:bookmarkStart w:id="27" w:name="_Toc102048547"/>
      <w:r w:rsidRPr="00EE570B">
        <w:t>Fluorescent Labels</w:t>
      </w:r>
      <w:bookmarkEnd w:id="27"/>
    </w:p>
    <w:p w14:paraId="087F05F5" w14:textId="77777777" w:rsidR="0034209D" w:rsidRPr="00BF0EBC" w:rsidRDefault="0034209D" w:rsidP="00120943">
      <w:pPr>
        <w:pStyle w:val="NormalWeb"/>
        <w:spacing w:before="0" w:beforeAutospacing="0" w:after="0" w:afterAutospacing="0" w:line="276" w:lineRule="auto"/>
        <w:ind w:firstLine="270"/>
      </w:pPr>
      <w:r w:rsidRPr="00BF0EBC">
        <w:rPr>
          <w:color w:val="000000"/>
        </w:rPr>
        <w:t xml:space="preserve">In this study, </w:t>
      </w:r>
      <w:proofErr w:type="spellStart"/>
      <w:r w:rsidRPr="00BF0EBC">
        <w:rPr>
          <w:color w:val="000000"/>
        </w:rPr>
        <w:t>Tamra</w:t>
      </w:r>
      <w:proofErr w:type="spellEnd"/>
      <w:r w:rsidRPr="00BF0EBC">
        <w:rPr>
          <w:color w:val="000000"/>
        </w:rPr>
        <w:t xml:space="preserve">-Tetrazine, and FAM-Maleimide were utilized to label incorporated </w:t>
      </w:r>
      <w:proofErr w:type="spellStart"/>
      <w:r w:rsidRPr="00BF0EBC">
        <w:rPr>
          <w:color w:val="000000"/>
        </w:rPr>
        <w:t>VdU</w:t>
      </w:r>
      <w:proofErr w:type="spellEnd"/>
      <w:r w:rsidRPr="00BF0EBC">
        <w:rPr>
          <w:color w:val="000000"/>
        </w:rPr>
        <w:t xml:space="preserve"> to indicate origin locations. Tetrazine-activated TAMRA dye reacts with TCO-containing compounds via an Inverse-Electron-Demand Diels-Alder reaction to form a stable covalent bond and does not require a Cu-catalyst or elevated temperatures. Maleimide is labeled with FAM. FAM (fluorescein) is a bright fluorophore that is compatible with various fluorescence detection instruments. FAM is a universal dye that is useful for microscopy, qPCR, and many other methods as well as for FRET-based and fluorescence polarization-based binding assays.</w:t>
      </w:r>
    </w:p>
    <w:p w14:paraId="0C144CB7" w14:textId="77777777" w:rsidR="0034209D" w:rsidRDefault="0034209D" w:rsidP="002F573D">
      <w:pPr>
        <w:spacing w:line="276" w:lineRule="auto"/>
      </w:pPr>
    </w:p>
    <w:p w14:paraId="01CFD19D" w14:textId="14C64250" w:rsidR="0034209D" w:rsidRDefault="0034209D" w:rsidP="002F573D">
      <w:pPr>
        <w:pStyle w:val="NormalWeb"/>
        <w:spacing w:before="0" w:beforeAutospacing="0" w:after="0" w:afterAutospacing="0" w:line="276" w:lineRule="auto"/>
        <w:jc w:val="center"/>
      </w:pPr>
      <w:r>
        <w:rPr>
          <w:noProof/>
          <w:color w:val="000000"/>
          <w:sz w:val="22"/>
          <w:szCs w:val="22"/>
          <w:bdr w:val="none" w:sz="0" w:space="0" w:color="auto" w:frame="1"/>
        </w:rPr>
        <w:lastRenderedPageBreak/>
        <w:drawing>
          <wp:inline distT="0" distB="0" distL="0" distR="0" wp14:anchorId="61C5CE6C" wp14:editId="5D25F8CA">
            <wp:extent cx="3360420" cy="2644140"/>
            <wp:effectExtent l="0" t="0" r="0" b="381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0420" cy="2644140"/>
                    </a:xfrm>
                    <a:prstGeom prst="rect">
                      <a:avLst/>
                    </a:prstGeom>
                    <a:noFill/>
                    <a:ln>
                      <a:noFill/>
                    </a:ln>
                  </pic:spPr>
                </pic:pic>
              </a:graphicData>
            </a:graphic>
          </wp:inline>
        </w:drawing>
      </w:r>
    </w:p>
    <w:p w14:paraId="1CA9324E" w14:textId="0CA1D9D5" w:rsidR="0034209D" w:rsidRDefault="0034209D" w:rsidP="002F573D">
      <w:pPr>
        <w:pStyle w:val="Heading5"/>
        <w:spacing w:line="276" w:lineRule="auto"/>
      </w:pPr>
      <w:r w:rsidRPr="00D329CB">
        <w:rPr>
          <w:b/>
          <w:bCs/>
          <w:shd w:val="clear" w:color="auto" w:fill="FFFFFF"/>
        </w:rPr>
        <w:t>Figure 7: Structure of fluorescent dyes used during this study</w:t>
      </w:r>
      <w:r w:rsidR="00D329CB" w:rsidRPr="00D329CB">
        <w:rPr>
          <w:b/>
          <w:bCs/>
          <w:shd w:val="clear" w:color="auto" w:fill="FFFFFF"/>
        </w:rPr>
        <w:t>-</w:t>
      </w:r>
      <w:r w:rsidR="00D329CB">
        <w:rPr>
          <w:shd w:val="clear" w:color="auto" w:fill="FFFFFF"/>
        </w:rPr>
        <w:t xml:space="preserve"> </w:t>
      </w:r>
      <w:r>
        <w:rPr>
          <w:shd w:val="clear" w:color="auto" w:fill="FFFFFF"/>
        </w:rPr>
        <w:t>Peaks of fluorescence are essential to identify, as it can indicate successful conjugation and solvent conditions</w:t>
      </w:r>
    </w:p>
    <w:p w14:paraId="21FB8BA5" w14:textId="77777777" w:rsidR="0034209D" w:rsidRPr="00D329CB" w:rsidRDefault="0034209D" w:rsidP="002F573D">
      <w:pPr>
        <w:pStyle w:val="Heading3"/>
        <w:spacing w:line="276" w:lineRule="auto"/>
      </w:pPr>
      <w:bookmarkStart w:id="28" w:name="_Toc102048548"/>
      <w:r w:rsidRPr="00D329CB">
        <w:t>Compatible Nucleosides</w:t>
      </w:r>
      <w:bookmarkEnd w:id="28"/>
      <w:r w:rsidRPr="00D329CB">
        <w:t> </w:t>
      </w:r>
    </w:p>
    <w:p w14:paraId="4A28F0FD" w14:textId="35EE4A10" w:rsidR="0034209D" w:rsidRDefault="0034209D" w:rsidP="002F573D">
      <w:pPr>
        <w:pStyle w:val="NormalWeb"/>
        <w:spacing w:before="0" w:beforeAutospacing="0" w:after="0" w:afterAutospacing="0" w:line="276" w:lineRule="auto"/>
        <w:ind w:firstLine="180"/>
        <w:rPr>
          <w:color w:val="000000"/>
        </w:rPr>
      </w:pPr>
      <w:r>
        <w:rPr>
          <w:color w:val="000000"/>
        </w:rPr>
        <w:t xml:space="preserve">Compatible nucleoside analogs may include </w:t>
      </w:r>
      <w:proofErr w:type="spellStart"/>
      <w:r>
        <w:rPr>
          <w:color w:val="000000"/>
        </w:rPr>
        <w:t>VdU</w:t>
      </w:r>
      <w:proofErr w:type="spellEnd"/>
      <w:r>
        <w:rPr>
          <w:color w:val="000000"/>
        </w:rPr>
        <w:t xml:space="preserve"> and </w:t>
      </w:r>
      <w:proofErr w:type="spellStart"/>
      <w:r>
        <w:rPr>
          <w:color w:val="000000"/>
        </w:rPr>
        <w:t>AmdU</w:t>
      </w:r>
      <w:proofErr w:type="spellEnd"/>
      <w:r>
        <w:rPr>
          <w:color w:val="000000"/>
        </w:rPr>
        <w:t xml:space="preserve">, which may be able to be labeled without denaturation or copper catalyzation. </w:t>
      </w:r>
      <w:proofErr w:type="spellStart"/>
      <w:r>
        <w:rPr>
          <w:color w:val="000000"/>
        </w:rPr>
        <w:t>VdU</w:t>
      </w:r>
      <w:proofErr w:type="spellEnd"/>
      <w:r>
        <w:rPr>
          <w:color w:val="000000"/>
        </w:rPr>
        <w:t xml:space="preserve"> is the abbreviated term for 5-VdU (5-Vinyl-2'-deoxyuridine) and </w:t>
      </w:r>
      <w:proofErr w:type="spellStart"/>
      <w:r>
        <w:rPr>
          <w:color w:val="000000"/>
        </w:rPr>
        <w:t>AmdU</w:t>
      </w:r>
      <w:proofErr w:type="spellEnd"/>
      <w:r>
        <w:rPr>
          <w:color w:val="000000"/>
        </w:rPr>
        <w:t xml:space="preserve"> is the abbreviated term for </w:t>
      </w:r>
      <w:r>
        <w:rPr>
          <w:color w:val="000000"/>
          <w:shd w:val="clear" w:color="auto" w:fill="FFFFFF"/>
        </w:rPr>
        <w:t xml:space="preserve">5-AmdU (5-Azidomethyl-2'-deoxyuridine). Both </w:t>
      </w:r>
      <w:r>
        <w:rPr>
          <w:color w:val="000000"/>
        </w:rPr>
        <w:t xml:space="preserve">can be used as a replacement for </w:t>
      </w:r>
      <w:proofErr w:type="spellStart"/>
      <w:r>
        <w:rPr>
          <w:color w:val="000000"/>
        </w:rPr>
        <w:t>BrdU</w:t>
      </w:r>
      <w:proofErr w:type="spellEnd"/>
      <w:r>
        <w:rPr>
          <w:color w:val="000000"/>
        </w:rPr>
        <w:t xml:space="preserve"> (5-Bromo-2'-deoxyuridine) or the copper-catalyst requiring 5-EdU (5-Ethynyl-2'-deoxyuridine) to measure </w:t>
      </w:r>
      <w:r>
        <w:rPr>
          <w:i/>
          <w:iCs/>
          <w:color w:val="000000"/>
        </w:rPr>
        <w:t>de novo</w:t>
      </w:r>
      <w:r>
        <w:rPr>
          <w:color w:val="000000"/>
        </w:rPr>
        <w:t xml:space="preserve"> DNA synthesis during the S-phase of the cell cycle</w:t>
      </w:r>
      <w:r w:rsidR="007C6101">
        <w:rPr>
          <w:color w:val="000000"/>
        </w:rPr>
        <w:t xml:space="preserve"> (Bianco et al, 2012)</w:t>
      </w:r>
      <w:r>
        <w:rPr>
          <w:color w:val="000000"/>
        </w:rPr>
        <w:t>. The analogs are cell-permeable and incorporated into replicating DNA instead of its natural analog thymidine. The resulting vinyl-functionalized DNA can subsequently be detected via Cu(I)-free Alkene-Tetrazine Ligation that offers the choice to introduce a Biotin group (via Tetrazines of Biotin) for subsequent purification tasks or a fluorescent group (via Tetrazines of fluorescent dyes) for subsequent microscopic imaging</w:t>
      </w:r>
      <w:r w:rsidR="007C6101">
        <w:rPr>
          <w:color w:val="000000"/>
        </w:rPr>
        <w:t xml:space="preserve"> </w:t>
      </w:r>
      <w:r>
        <w:rPr>
          <w:color w:val="000000"/>
        </w:rPr>
        <w:t>(</w:t>
      </w:r>
      <w:r w:rsidR="008363F0">
        <w:rPr>
          <w:color w:val="000000"/>
        </w:rPr>
        <w:t xml:space="preserve">Wang et al, </w:t>
      </w:r>
      <w:proofErr w:type="gramStart"/>
      <w:r w:rsidR="008363F0">
        <w:rPr>
          <w:color w:val="000000"/>
        </w:rPr>
        <w:t>2020</w:t>
      </w:r>
      <w:r w:rsidR="005502D4">
        <w:rPr>
          <w:color w:val="000000"/>
        </w:rPr>
        <w:t xml:space="preserve"> </w:t>
      </w:r>
      <w:r>
        <w:rPr>
          <w:color w:val="000000"/>
        </w:rPr>
        <w:t>)</w:t>
      </w:r>
      <w:proofErr w:type="gramEnd"/>
      <w:r>
        <w:rPr>
          <w:color w:val="000000"/>
        </w:rPr>
        <w:t>(</w:t>
      </w:r>
      <w:r w:rsidR="001C47EE">
        <w:rPr>
          <w:color w:val="000000"/>
        </w:rPr>
        <w:t>Sivakumar, 2021</w:t>
      </w:r>
      <w:r>
        <w:rPr>
          <w:color w:val="000000"/>
        </w:rPr>
        <w:t>). </w:t>
      </w:r>
    </w:p>
    <w:p w14:paraId="7CE006D0" w14:textId="39725E43" w:rsidR="00D329CB" w:rsidRDefault="00D329CB" w:rsidP="002F573D">
      <w:pPr>
        <w:pStyle w:val="NormalWeb"/>
        <w:spacing w:before="0" w:beforeAutospacing="0" w:after="0" w:afterAutospacing="0" w:line="276" w:lineRule="auto"/>
        <w:ind w:firstLine="180"/>
        <w:rPr>
          <w:color w:val="000000"/>
        </w:rPr>
      </w:pPr>
    </w:p>
    <w:p w14:paraId="7396FE30" w14:textId="02A26D14" w:rsidR="00D329CB" w:rsidRDefault="00D329CB" w:rsidP="002F573D">
      <w:pPr>
        <w:pStyle w:val="NormalWeb"/>
        <w:spacing w:before="0" w:beforeAutospacing="0" w:after="0" w:afterAutospacing="0" w:line="276" w:lineRule="auto"/>
        <w:ind w:firstLine="180"/>
        <w:rPr>
          <w:color w:val="000000"/>
        </w:rPr>
      </w:pPr>
    </w:p>
    <w:p w14:paraId="2C3F52A3" w14:textId="1451FDCD" w:rsidR="00D329CB" w:rsidRDefault="00D329CB" w:rsidP="002F573D">
      <w:pPr>
        <w:pStyle w:val="NormalWeb"/>
        <w:spacing w:before="0" w:beforeAutospacing="0" w:after="0" w:afterAutospacing="0" w:line="276" w:lineRule="auto"/>
        <w:ind w:firstLine="180"/>
        <w:rPr>
          <w:color w:val="000000"/>
        </w:rPr>
      </w:pPr>
    </w:p>
    <w:p w14:paraId="28827000" w14:textId="77777777" w:rsidR="00D329CB" w:rsidRDefault="00D329CB" w:rsidP="002F573D">
      <w:pPr>
        <w:pStyle w:val="NormalWeb"/>
        <w:spacing w:before="0" w:beforeAutospacing="0" w:after="0" w:afterAutospacing="0" w:line="276" w:lineRule="auto"/>
        <w:ind w:firstLine="180"/>
      </w:pPr>
    </w:p>
    <w:p w14:paraId="1FB1EEA8" w14:textId="41FBECEE" w:rsidR="0034209D" w:rsidRDefault="0034209D" w:rsidP="002F573D">
      <w:pPr>
        <w:pStyle w:val="NormalWeb"/>
        <w:spacing w:before="0" w:beforeAutospacing="0" w:after="0" w:afterAutospacing="0" w:line="276" w:lineRule="auto"/>
        <w:jc w:val="center"/>
      </w:pPr>
      <w:r>
        <w:rPr>
          <w:rFonts w:ascii="Arial" w:hAnsi="Arial" w:cs="Arial"/>
          <w:noProof/>
          <w:color w:val="333333"/>
          <w:sz w:val="21"/>
          <w:szCs w:val="21"/>
          <w:bdr w:val="none" w:sz="0" w:space="0" w:color="auto" w:frame="1"/>
        </w:rPr>
        <w:lastRenderedPageBreak/>
        <w:drawing>
          <wp:inline distT="0" distB="0" distL="0" distR="0" wp14:anchorId="7C8CFC24" wp14:editId="4394E402">
            <wp:extent cx="2903220" cy="2179320"/>
            <wp:effectExtent l="0" t="0" r="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3220" cy="2179320"/>
                    </a:xfrm>
                    <a:prstGeom prst="rect">
                      <a:avLst/>
                    </a:prstGeom>
                    <a:noFill/>
                    <a:ln>
                      <a:noFill/>
                    </a:ln>
                  </pic:spPr>
                </pic:pic>
              </a:graphicData>
            </a:graphic>
          </wp:inline>
        </w:drawing>
      </w:r>
    </w:p>
    <w:p w14:paraId="081D6738" w14:textId="1280DC1B" w:rsidR="0034209D" w:rsidRDefault="0034209D" w:rsidP="002F573D">
      <w:pPr>
        <w:pStyle w:val="Heading5"/>
        <w:spacing w:line="276" w:lineRule="auto"/>
      </w:pPr>
      <w:r w:rsidRPr="00D329CB">
        <w:rPr>
          <w:b/>
          <w:bCs/>
          <w:shd w:val="clear" w:color="auto" w:fill="FFFFFF"/>
        </w:rPr>
        <w:t xml:space="preserve">Figure 8: Tested Nucleotide Analogs </w:t>
      </w:r>
      <w:r w:rsidR="00D329CB" w:rsidRPr="00D329CB">
        <w:rPr>
          <w:b/>
          <w:bCs/>
          <w:shd w:val="clear" w:color="auto" w:fill="FFFFFF"/>
        </w:rPr>
        <w:t>D</w:t>
      </w:r>
      <w:r w:rsidRPr="00D329CB">
        <w:rPr>
          <w:b/>
          <w:bCs/>
          <w:shd w:val="clear" w:color="auto" w:fill="FFFFFF"/>
        </w:rPr>
        <w:t>uring this revision of the experimental procedure</w:t>
      </w:r>
      <w:r w:rsidR="00D329CB">
        <w:rPr>
          <w:b/>
          <w:bCs/>
          <w:shd w:val="clear" w:color="auto" w:fill="FFFFFF"/>
        </w:rPr>
        <w:t xml:space="preserve">- </w:t>
      </w:r>
      <w:r>
        <w:rPr>
          <w:shd w:val="clear" w:color="auto" w:fill="FFFFFF"/>
        </w:rPr>
        <w:t xml:space="preserve">Panel A is the structure of </w:t>
      </w:r>
      <w:proofErr w:type="spellStart"/>
      <w:r>
        <w:rPr>
          <w:shd w:val="clear" w:color="auto" w:fill="FFFFFF"/>
        </w:rPr>
        <w:t>A</w:t>
      </w:r>
      <w:r w:rsidR="007125F9">
        <w:rPr>
          <w:shd w:val="clear" w:color="auto" w:fill="FFFFFF"/>
        </w:rPr>
        <w:t>m</w:t>
      </w:r>
      <w:r>
        <w:rPr>
          <w:shd w:val="clear" w:color="auto" w:fill="FFFFFF"/>
        </w:rPr>
        <w:t>dU</w:t>
      </w:r>
      <w:proofErr w:type="spellEnd"/>
      <w:r>
        <w:rPr>
          <w:shd w:val="clear" w:color="auto" w:fill="FFFFFF"/>
        </w:rPr>
        <w:t xml:space="preserve"> and Panel B is the structure of </w:t>
      </w:r>
      <w:proofErr w:type="spellStart"/>
      <w:r>
        <w:rPr>
          <w:shd w:val="clear" w:color="auto" w:fill="FFFFFF"/>
        </w:rPr>
        <w:t>VdU</w:t>
      </w:r>
      <w:proofErr w:type="spellEnd"/>
    </w:p>
    <w:p w14:paraId="6B0D8E0E" w14:textId="77777777" w:rsidR="0034209D" w:rsidRPr="00D329CB" w:rsidRDefault="0034209D" w:rsidP="002F573D">
      <w:pPr>
        <w:pStyle w:val="Heading3"/>
        <w:spacing w:line="276" w:lineRule="auto"/>
      </w:pPr>
      <w:bookmarkStart w:id="29" w:name="_Toc102048549"/>
      <w:proofErr w:type="spellStart"/>
      <w:r w:rsidRPr="00D329CB">
        <w:t>Abasic</w:t>
      </w:r>
      <w:proofErr w:type="spellEnd"/>
      <w:r w:rsidRPr="00D329CB">
        <w:t xml:space="preserve"> Sites and Glycosylase</w:t>
      </w:r>
      <w:bookmarkEnd w:id="29"/>
    </w:p>
    <w:p w14:paraId="57E38751" w14:textId="10F3A123" w:rsidR="00251C34" w:rsidRDefault="0034209D" w:rsidP="00120943">
      <w:pPr>
        <w:pStyle w:val="NormalWeb"/>
        <w:spacing w:before="0" w:beforeAutospacing="0" w:after="0" w:afterAutospacing="0" w:line="276" w:lineRule="auto"/>
        <w:ind w:firstLine="180"/>
        <w:rPr>
          <w:color w:val="000000"/>
        </w:rPr>
      </w:pPr>
      <w:r w:rsidRPr="00BF0EBC">
        <w:rPr>
          <w:color w:val="000000"/>
        </w:rPr>
        <w:t xml:space="preserve">Apurinic/apyrimidinic (AP) sites, also known as </w:t>
      </w:r>
      <w:r w:rsidR="00D329CB" w:rsidRPr="00BF0EBC">
        <w:rPr>
          <w:color w:val="000000"/>
        </w:rPr>
        <w:t>a basic site</w:t>
      </w:r>
      <w:r w:rsidRPr="00BF0EBC">
        <w:rPr>
          <w:color w:val="000000"/>
        </w:rPr>
        <w:t xml:space="preserve">, are frequent lesions found in DNA that contain neither purine </w:t>
      </w:r>
      <w:proofErr w:type="gramStart"/>
      <w:r w:rsidRPr="00BF0EBC">
        <w:rPr>
          <w:color w:val="000000"/>
        </w:rPr>
        <w:t>or</w:t>
      </w:r>
      <w:proofErr w:type="gramEnd"/>
      <w:r w:rsidRPr="00BF0EBC">
        <w:rPr>
          <w:color w:val="000000"/>
        </w:rPr>
        <w:t xml:space="preserve"> pyrimidine bases caused by spontaneous depurination (</w:t>
      </w:r>
      <w:r w:rsidRPr="00BF0EBC">
        <w:rPr>
          <w:i/>
          <w:iCs/>
          <w:color w:val="000000"/>
        </w:rPr>
        <w:t>Figure 9</w:t>
      </w:r>
      <w:r w:rsidRPr="00BF0EBC">
        <w:rPr>
          <w:color w:val="000000"/>
        </w:rPr>
        <w:t>). AP sites can also be created through a process called base excision repair, which is the process of removing small non-</w:t>
      </w:r>
      <w:r w:rsidR="00D329CB" w:rsidRPr="00BF0EBC">
        <w:rPr>
          <w:color w:val="000000"/>
        </w:rPr>
        <w:t>helix</w:t>
      </w:r>
      <w:r w:rsidRPr="00BF0EBC">
        <w:rPr>
          <w:color w:val="000000"/>
        </w:rPr>
        <w:t xml:space="preserve"> distorted base lesions from the genome. During this process, an enzyme called DNA glycosylase recognizes the damaged base and cleaves the nitrogenous base bond to release the base. This breaks the glycosidic linkage between the two and leaves an AP site. Apyrimidinic sites form at a rate roughly 20 times slower, with estimates at around 500 formation events per day, per cell. At rates this high, it is critical for cells to have a robust repair apparatus in place </w:t>
      </w:r>
      <w:r w:rsidR="00D329CB" w:rsidRPr="00BF0EBC">
        <w:rPr>
          <w:color w:val="000000"/>
        </w:rPr>
        <w:t>to</w:t>
      </w:r>
      <w:r w:rsidRPr="00BF0EBC">
        <w:rPr>
          <w:color w:val="000000"/>
        </w:rPr>
        <w:t xml:space="preserve"> prevent mutation</w:t>
      </w:r>
      <w:r w:rsidR="00563F69">
        <w:rPr>
          <w:color w:val="000000"/>
        </w:rPr>
        <w:t xml:space="preserve"> (Wilso</w:t>
      </w:r>
      <w:r w:rsidR="00AF6258">
        <w:rPr>
          <w:color w:val="000000"/>
        </w:rPr>
        <w:t>n</w:t>
      </w:r>
      <w:r w:rsidR="005502D4">
        <w:rPr>
          <w:color w:val="000000"/>
        </w:rPr>
        <w:t>, 2</w:t>
      </w:r>
      <w:r w:rsidR="00AF6258">
        <w:rPr>
          <w:color w:val="000000"/>
        </w:rPr>
        <w:t>022)</w:t>
      </w:r>
      <w:r w:rsidRPr="00BF0EBC">
        <w:rPr>
          <w:color w:val="000000"/>
        </w:rPr>
        <w:t>.</w:t>
      </w:r>
    </w:p>
    <w:p w14:paraId="4A3DA028" w14:textId="39360974" w:rsidR="00251C34" w:rsidRDefault="00251C34" w:rsidP="002F573D">
      <w:pPr>
        <w:pStyle w:val="NormalWeb"/>
        <w:spacing w:before="0" w:beforeAutospacing="0" w:after="0" w:afterAutospacing="0" w:line="276" w:lineRule="auto"/>
        <w:rPr>
          <w:color w:val="000000"/>
        </w:rPr>
      </w:pPr>
    </w:p>
    <w:p w14:paraId="691588B2" w14:textId="0785D817" w:rsidR="00251C34" w:rsidRDefault="00251C34" w:rsidP="002F573D">
      <w:pPr>
        <w:pStyle w:val="NormalWeb"/>
        <w:spacing w:before="0" w:beforeAutospacing="0" w:after="0" w:afterAutospacing="0" w:line="276" w:lineRule="auto"/>
        <w:jc w:val="center"/>
        <w:rPr>
          <w:color w:val="000000"/>
        </w:rPr>
      </w:pPr>
      <w:r>
        <w:rPr>
          <w:rFonts w:ascii="Arial" w:hAnsi="Arial" w:cs="Arial"/>
          <w:noProof/>
          <w:color w:val="000000"/>
          <w:sz w:val="22"/>
          <w:szCs w:val="22"/>
          <w:bdr w:val="none" w:sz="0" w:space="0" w:color="auto" w:frame="1"/>
        </w:rPr>
        <w:drawing>
          <wp:inline distT="0" distB="0" distL="0" distR="0" wp14:anchorId="3889BBB0" wp14:editId="0E7F6D69">
            <wp:extent cx="2253803" cy="1407872"/>
            <wp:effectExtent l="0" t="0" r="0" b="190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4373" cy="1408228"/>
                    </a:xfrm>
                    <a:prstGeom prst="rect">
                      <a:avLst/>
                    </a:prstGeom>
                    <a:noFill/>
                    <a:ln>
                      <a:noFill/>
                    </a:ln>
                  </pic:spPr>
                </pic:pic>
              </a:graphicData>
            </a:graphic>
          </wp:inline>
        </w:drawing>
      </w:r>
    </w:p>
    <w:p w14:paraId="38A90870" w14:textId="6B0E676F" w:rsidR="00251C34" w:rsidRDefault="00251C34" w:rsidP="002F573D">
      <w:pPr>
        <w:pStyle w:val="Heading5"/>
        <w:spacing w:line="276" w:lineRule="auto"/>
      </w:pPr>
      <w:r w:rsidRPr="00D329CB">
        <w:rPr>
          <w:b/>
          <w:bCs/>
        </w:rPr>
        <w:t>Figure 9: Simple representation of an AP site within DNA</w:t>
      </w:r>
      <w:r>
        <w:rPr>
          <w:b/>
          <w:bCs/>
        </w:rPr>
        <w:t xml:space="preserve">- </w:t>
      </w:r>
      <w:r>
        <w:t>Once the glycosylase recognizes a non-natural nucleoside, it will cut it out causing the creating of an a-basic site (Wikimedia</w:t>
      </w:r>
      <w:r w:rsidR="005502D4">
        <w:t xml:space="preserve">, </w:t>
      </w:r>
      <w:r>
        <w:t>2022). </w:t>
      </w:r>
    </w:p>
    <w:p w14:paraId="34BFAEFE" w14:textId="77777777" w:rsidR="00251C34" w:rsidRDefault="00251C34" w:rsidP="002F573D">
      <w:pPr>
        <w:pStyle w:val="NormalWeb"/>
        <w:spacing w:before="0" w:beforeAutospacing="0" w:after="0" w:afterAutospacing="0" w:line="276" w:lineRule="auto"/>
        <w:jc w:val="center"/>
        <w:rPr>
          <w:color w:val="000000"/>
        </w:rPr>
      </w:pPr>
    </w:p>
    <w:p w14:paraId="5E8A448E" w14:textId="54458417" w:rsidR="00251C34" w:rsidRDefault="00251C34" w:rsidP="002F573D">
      <w:pPr>
        <w:pStyle w:val="NormalWeb"/>
        <w:spacing w:before="0" w:beforeAutospacing="0" w:after="0" w:afterAutospacing="0" w:line="276" w:lineRule="auto"/>
        <w:rPr>
          <w:color w:val="000000"/>
        </w:rPr>
      </w:pPr>
    </w:p>
    <w:p w14:paraId="09E958C6" w14:textId="57FF656A" w:rsidR="00251C34" w:rsidRDefault="00251C34" w:rsidP="002F573D">
      <w:pPr>
        <w:pStyle w:val="NormalWeb"/>
        <w:spacing w:before="0" w:beforeAutospacing="0" w:after="0" w:afterAutospacing="0" w:line="276" w:lineRule="auto"/>
        <w:rPr>
          <w:color w:val="000000"/>
        </w:rPr>
      </w:pPr>
    </w:p>
    <w:p w14:paraId="7BE28A44" w14:textId="3CDF4F16" w:rsidR="00251C34" w:rsidRDefault="00251C34" w:rsidP="002F573D">
      <w:pPr>
        <w:pStyle w:val="NormalWeb"/>
        <w:spacing w:before="0" w:beforeAutospacing="0" w:after="0" w:afterAutospacing="0" w:line="276" w:lineRule="auto"/>
        <w:rPr>
          <w:color w:val="000000"/>
        </w:rPr>
      </w:pPr>
    </w:p>
    <w:p w14:paraId="5DE9C68C" w14:textId="6C72D49B" w:rsidR="00251C34" w:rsidRDefault="00251C34" w:rsidP="002F573D">
      <w:pPr>
        <w:pStyle w:val="NormalWeb"/>
        <w:spacing w:before="0" w:beforeAutospacing="0" w:after="0" w:afterAutospacing="0" w:line="276" w:lineRule="auto"/>
        <w:rPr>
          <w:color w:val="000000"/>
        </w:rPr>
      </w:pPr>
    </w:p>
    <w:p w14:paraId="0C531FCB" w14:textId="6BF76E5C" w:rsidR="00251C34" w:rsidRDefault="00251C34" w:rsidP="002F573D">
      <w:pPr>
        <w:pStyle w:val="NormalWeb"/>
        <w:spacing w:before="0" w:beforeAutospacing="0" w:after="0" w:afterAutospacing="0" w:line="276" w:lineRule="auto"/>
        <w:rPr>
          <w:color w:val="000000"/>
        </w:rPr>
      </w:pPr>
    </w:p>
    <w:p w14:paraId="0E51A16E" w14:textId="77777777" w:rsidR="00251C34" w:rsidRDefault="00251C34" w:rsidP="002F573D">
      <w:pPr>
        <w:pStyle w:val="NormalWeb"/>
        <w:spacing w:before="0" w:beforeAutospacing="0" w:after="0" w:afterAutospacing="0" w:line="276" w:lineRule="auto"/>
        <w:rPr>
          <w:color w:val="000000"/>
        </w:rPr>
      </w:pPr>
    </w:p>
    <w:p w14:paraId="1571D81F" w14:textId="787E14FB" w:rsidR="0034209D" w:rsidRDefault="0034209D" w:rsidP="002F573D">
      <w:pPr>
        <w:pStyle w:val="NormalWeb"/>
        <w:spacing w:before="0" w:beforeAutospacing="0" w:after="0" w:afterAutospacing="0" w:line="276" w:lineRule="auto"/>
      </w:pPr>
      <w:r w:rsidRPr="00BF0EBC">
        <w:rPr>
          <w:color w:val="000000"/>
        </w:rPr>
        <w:t xml:space="preserve"> The glycosylase used in this methodology recognizes non-natural nucleotides; since </w:t>
      </w:r>
      <w:proofErr w:type="spellStart"/>
      <w:r w:rsidRPr="00BF0EBC">
        <w:rPr>
          <w:color w:val="000000"/>
        </w:rPr>
        <w:t>dI</w:t>
      </w:r>
      <w:proofErr w:type="spellEnd"/>
      <w:r w:rsidRPr="00BF0EBC">
        <w:rPr>
          <w:color w:val="000000"/>
        </w:rPr>
        <w:t xml:space="preserve"> is not supposed to be there, the glycosylase will cut out the inosine base, making </w:t>
      </w:r>
      <w:r w:rsidR="005502D4" w:rsidRPr="00BF0EBC">
        <w:rPr>
          <w:color w:val="000000"/>
        </w:rPr>
        <w:t>a</w:t>
      </w:r>
      <w:r w:rsidR="00D329CB" w:rsidRPr="00BF0EBC">
        <w:rPr>
          <w:color w:val="000000"/>
        </w:rPr>
        <w:t xml:space="preserve"> basic</w:t>
      </w:r>
      <w:r w:rsidRPr="00BF0EBC">
        <w:rPr>
          <w:color w:val="000000"/>
        </w:rPr>
        <w:t xml:space="preserve"> site. </w:t>
      </w:r>
      <w:proofErr w:type="gramStart"/>
      <w:r w:rsidRPr="00BF0EBC">
        <w:rPr>
          <w:color w:val="000000"/>
        </w:rPr>
        <w:t xml:space="preserve">The </w:t>
      </w:r>
      <w:r w:rsidR="00D329CB" w:rsidRPr="00BF0EBC">
        <w:rPr>
          <w:color w:val="000000"/>
        </w:rPr>
        <w:t>a</w:t>
      </w:r>
      <w:proofErr w:type="gramEnd"/>
      <w:r w:rsidR="00D329CB" w:rsidRPr="00BF0EBC">
        <w:rPr>
          <w:color w:val="000000"/>
        </w:rPr>
        <w:t xml:space="preserve"> basic</w:t>
      </w:r>
      <w:r w:rsidRPr="00BF0EBC">
        <w:rPr>
          <w:color w:val="000000"/>
        </w:rPr>
        <w:t xml:space="preserve"> site created is a good binding pocket for a hydrophobic small molecule. There is a lab that has developed a small fluorescent molecule that can attach to the sugar at </w:t>
      </w:r>
      <w:r w:rsidR="005502D4" w:rsidRPr="00BF0EBC">
        <w:rPr>
          <w:color w:val="000000"/>
        </w:rPr>
        <w:t>a</w:t>
      </w:r>
      <w:r w:rsidR="00D329CB" w:rsidRPr="00BF0EBC">
        <w:rPr>
          <w:color w:val="000000"/>
        </w:rPr>
        <w:t xml:space="preserve"> basic</w:t>
      </w:r>
      <w:r w:rsidRPr="00BF0EBC">
        <w:rPr>
          <w:color w:val="000000"/>
        </w:rPr>
        <w:t xml:space="preserve"> site, which can be used as a fluorescent tag to track origin firing</w:t>
      </w:r>
      <w:r w:rsidR="00AF6258">
        <w:rPr>
          <w:color w:val="000000"/>
        </w:rPr>
        <w:t xml:space="preserve"> (Wilson</w:t>
      </w:r>
      <w:r w:rsidR="005502D4">
        <w:rPr>
          <w:color w:val="000000"/>
        </w:rPr>
        <w:t xml:space="preserve">, </w:t>
      </w:r>
      <w:r w:rsidR="00AF6258">
        <w:rPr>
          <w:color w:val="000000"/>
        </w:rPr>
        <w:t>2022)</w:t>
      </w:r>
      <w:r w:rsidRPr="00BF0EBC">
        <w:rPr>
          <w:color w:val="000000"/>
        </w:rPr>
        <w:t>. </w:t>
      </w:r>
    </w:p>
    <w:p w14:paraId="22BC5263" w14:textId="2DB16114" w:rsidR="00F93BE0" w:rsidRDefault="00F93BE0" w:rsidP="002F573D">
      <w:pPr>
        <w:spacing w:line="276" w:lineRule="auto"/>
      </w:pPr>
    </w:p>
    <w:p w14:paraId="08E61030" w14:textId="17A80C77" w:rsidR="00F93BE0" w:rsidRDefault="00F93BE0" w:rsidP="002F573D">
      <w:pPr>
        <w:spacing w:line="276" w:lineRule="auto"/>
        <w:jc w:val="center"/>
      </w:pPr>
      <w:r w:rsidRPr="00F93BE0">
        <w:rPr>
          <w:noProof/>
        </w:rPr>
        <w:drawing>
          <wp:inline distT="0" distB="0" distL="0" distR="0" wp14:anchorId="13558E9D" wp14:editId="544CDF45">
            <wp:extent cx="2286198" cy="708721"/>
            <wp:effectExtent l="0" t="0" r="0" b="0"/>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pic:nvPicPr>
                  <pic:blipFill>
                    <a:blip r:embed="rId17"/>
                    <a:stretch>
                      <a:fillRect/>
                    </a:stretch>
                  </pic:blipFill>
                  <pic:spPr>
                    <a:xfrm>
                      <a:off x="0" y="0"/>
                      <a:ext cx="2286198" cy="708721"/>
                    </a:xfrm>
                    <a:prstGeom prst="rect">
                      <a:avLst/>
                    </a:prstGeom>
                  </pic:spPr>
                </pic:pic>
              </a:graphicData>
            </a:graphic>
          </wp:inline>
        </w:drawing>
      </w:r>
    </w:p>
    <w:p w14:paraId="24230D0E" w14:textId="1960EAE6" w:rsidR="00F44129" w:rsidRDefault="00251C34" w:rsidP="002F573D">
      <w:pPr>
        <w:pStyle w:val="Heading5"/>
        <w:spacing w:line="276" w:lineRule="auto"/>
      </w:pPr>
      <w:r w:rsidRPr="00D329CB">
        <w:rPr>
          <w:b/>
          <w:bCs/>
        </w:rPr>
        <w:t xml:space="preserve">Figure </w:t>
      </w:r>
      <w:r>
        <w:rPr>
          <w:b/>
          <w:bCs/>
        </w:rPr>
        <w:t>10</w:t>
      </w:r>
      <w:r w:rsidRPr="00D329CB">
        <w:rPr>
          <w:b/>
          <w:bCs/>
        </w:rPr>
        <w:t xml:space="preserve">: </w:t>
      </w:r>
      <w:r w:rsidR="00CE1188">
        <w:rPr>
          <w:b/>
          <w:bCs/>
        </w:rPr>
        <w:t>Glycosylase Mechanism</w:t>
      </w:r>
      <w:r>
        <w:rPr>
          <w:b/>
          <w:bCs/>
        </w:rPr>
        <w:t xml:space="preserve">- </w:t>
      </w:r>
      <w:r w:rsidR="00F44129" w:rsidRPr="00F44129">
        <w:t>Using</w:t>
      </w:r>
      <w:r w:rsidR="00F44129">
        <w:t xml:space="preserve"> base-excision repair, </w:t>
      </w:r>
      <w:r w:rsidR="00046D99">
        <w:t xml:space="preserve">glycosylase creates a high specificity AP site. From here a </w:t>
      </w:r>
      <w:r w:rsidR="00C01B8F">
        <w:t>fluorescent probe can be attached for identification through multi</w:t>
      </w:r>
      <w:r w:rsidR="00563F69">
        <w:t>ple assays</w:t>
      </w:r>
      <w:r w:rsidR="00AE7E95">
        <w:t xml:space="preserve"> (</w:t>
      </w:r>
      <w:r w:rsidR="005502D4">
        <w:t>Wilson, 2022</w:t>
      </w:r>
      <w:r w:rsidR="00A156AF">
        <w:t>)</w:t>
      </w:r>
      <w:r w:rsidR="00563F69">
        <w:t>.</w:t>
      </w:r>
    </w:p>
    <w:p w14:paraId="1109F5AF" w14:textId="566CA813" w:rsidR="0034209D" w:rsidRPr="00AD6B85" w:rsidRDefault="0034209D" w:rsidP="002F573D">
      <w:pPr>
        <w:pStyle w:val="Heading3"/>
        <w:spacing w:line="276" w:lineRule="auto"/>
      </w:pPr>
      <w:bookmarkStart w:id="30" w:name="_Toc101972226"/>
      <w:bookmarkStart w:id="31" w:name="_Toc102048550"/>
      <w:r w:rsidRPr="00AD6B85">
        <w:t>Applications of Origin Site Tracking</w:t>
      </w:r>
      <w:bookmarkEnd w:id="30"/>
      <w:bookmarkEnd w:id="31"/>
    </w:p>
    <w:p w14:paraId="481E3759" w14:textId="1CB4D46D" w:rsidR="0034209D" w:rsidRDefault="0034209D" w:rsidP="00120943">
      <w:pPr>
        <w:pStyle w:val="NormalWeb"/>
        <w:spacing w:before="0" w:beforeAutospacing="0" w:after="0" w:afterAutospacing="0" w:line="276" w:lineRule="auto"/>
        <w:ind w:firstLine="180"/>
        <w:rPr>
          <w:color w:val="000000"/>
        </w:rPr>
      </w:pPr>
      <w:r>
        <w:rPr>
          <w:color w:val="000000"/>
        </w:rPr>
        <w:t>Understanding how and when the origins of fire can allow insight into the DNA replication kinetics of cells. Patterns of replication in genome-scale mapping have given insight into differential cell types and growth conditions, with applications in the field of gene expression, chromatin structure, and genome evolution. Using ORM allows research into and experimentation in cell lines that don’t have effective transformation. This approach can further support modeling, as currently, we have stochastic modeling, however, not in high resolution. Higher-resolution modeling can provide more accurate timing of replication and origin firing. In doing so, there can be further developed into the insight of DNA replication kinetics and allow demonstration in a greater range of systems</w:t>
      </w:r>
      <w:r w:rsidR="0053253C">
        <w:rPr>
          <w:color w:val="000000"/>
        </w:rPr>
        <w:t xml:space="preserve"> </w:t>
      </w:r>
      <w:r>
        <w:rPr>
          <w:color w:val="000000"/>
        </w:rPr>
        <w:t>(</w:t>
      </w:r>
      <w:proofErr w:type="spellStart"/>
      <w:r w:rsidR="0053253C">
        <w:rPr>
          <w:color w:val="000000"/>
        </w:rPr>
        <w:t>Rhind</w:t>
      </w:r>
      <w:proofErr w:type="spellEnd"/>
      <w:r w:rsidR="0053253C">
        <w:rPr>
          <w:color w:val="000000"/>
        </w:rPr>
        <w:t xml:space="preserve"> et al, 2013</w:t>
      </w:r>
      <w:r>
        <w:rPr>
          <w:color w:val="000000"/>
        </w:rPr>
        <w:t>). </w:t>
      </w:r>
    </w:p>
    <w:p w14:paraId="60460A73" w14:textId="77777777" w:rsidR="00D63BAC" w:rsidRDefault="00D63BAC" w:rsidP="00120943">
      <w:pPr>
        <w:pStyle w:val="NormalWeb"/>
        <w:spacing w:before="0" w:beforeAutospacing="0" w:after="0" w:afterAutospacing="0" w:line="276" w:lineRule="auto"/>
        <w:ind w:firstLine="180"/>
        <w:rPr>
          <w:color w:val="000000"/>
        </w:rPr>
      </w:pPr>
    </w:p>
    <w:p w14:paraId="3D59AD77" w14:textId="4188F653" w:rsidR="0034209D" w:rsidRDefault="0034209D" w:rsidP="00120943">
      <w:pPr>
        <w:pStyle w:val="NormalWeb"/>
        <w:spacing w:before="0" w:beforeAutospacing="0" w:after="0" w:afterAutospacing="0" w:line="276" w:lineRule="auto"/>
        <w:ind w:firstLine="180"/>
        <w:rPr>
          <w:color w:val="000000"/>
        </w:rPr>
      </w:pPr>
      <w:r>
        <w:rPr>
          <w:color w:val="000000"/>
        </w:rPr>
        <w:t xml:space="preserve">This study looks to optimize the process of optical replication mapping </w:t>
      </w:r>
      <w:r w:rsidR="0053253C">
        <w:rPr>
          <w:color w:val="000000"/>
        </w:rPr>
        <w:t>to</w:t>
      </w:r>
      <w:r>
        <w:rPr>
          <w:color w:val="000000"/>
        </w:rPr>
        <w:t xml:space="preserve"> </w:t>
      </w:r>
      <w:r w:rsidR="0053253C">
        <w:rPr>
          <w:color w:val="000000"/>
        </w:rPr>
        <w:t>target and monitor origin firing sites more accurately</w:t>
      </w:r>
      <w:r>
        <w:rPr>
          <w:color w:val="000000"/>
        </w:rPr>
        <w:t xml:space="preserve">. The first step of this process is to identify nucleoside labels that are compatible with ORM. This approach led us to test the toxicity of </w:t>
      </w:r>
      <w:proofErr w:type="spellStart"/>
      <w:r>
        <w:rPr>
          <w:color w:val="000000"/>
        </w:rPr>
        <w:t>VdU</w:t>
      </w:r>
      <w:proofErr w:type="spellEnd"/>
      <w:r>
        <w:rPr>
          <w:color w:val="000000"/>
        </w:rPr>
        <w:t xml:space="preserve"> and </w:t>
      </w:r>
      <w:proofErr w:type="spellStart"/>
      <w:r>
        <w:rPr>
          <w:color w:val="000000"/>
        </w:rPr>
        <w:t>AmdU</w:t>
      </w:r>
      <w:proofErr w:type="spellEnd"/>
      <w:r>
        <w:rPr>
          <w:color w:val="000000"/>
        </w:rPr>
        <w:t xml:space="preserve"> in yeast </w:t>
      </w:r>
      <w:r w:rsidR="0053253C">
        <w:rPr>
          <w:color w:val="000000"/>
        </w:rPr>
        <w:t>to</w:t>
      </w:r>
      <w:r>
        <w:rPr>
          <w:color w:val="000000"/>
        </w:rPr>
        <w:t xml:space="preserve"> determine what morphological and toxic effect these nucleotides would have on the cells. The next step after this was to test the incorporation of the nucleoside and whether they can be conjugated to fluorescent dyes in He La cells and optimize these procedures. With successful conjugation of both dyes, the labeled DNA would be pulled through the ORM system </w:t>
      </w:r>
      <w:r w:rsidR="0053253C">
        <w:rPr>
          <w:color w:val="000000"/>
        </w:rPr>
        <w:t>to</w:t>
      </w:r>
      <w:r>
        <w:rPr>
          <w:color w:val="000000"/>
        </w:rPr>
        <w:t xml:space="preserve"> locate the origin sites and study the regulation of replication kinetics during cell differentiation.</w:t>
      </w:r>
    </w:p>
    <w:p w14:paraId="731AD132" w14:textId="77777777" w:rsidR="0034209D" w:rsidRDefault="0034209D" w:rsidP="002F573D">
      <w:pPr>
        <w:pStyle w:val="NormalWeb"/>
        <w:spacing w:before="0" w:beforeAutospacing="0" w:after="0" w:afterAutospacing="0" w:line="276" w:lineRule="auto"/>
        <w:rPr>
          <w:color w:val="000000"/>
        </w:rPr>
      </w:pPr>
    </w:p>
    <w:p w14:paraId="02E2CA44" w14:textId="3AB7DDED" w:rsidR="00624738" w:rsidRDefault="00624738" w:rsidP="002F573D">
      <w:pPr>
        <w:pStyle w:val="Heading1"/>
        <w:spacing w:line="276" w:lineRule="auto"/>
        <w:rPr>
          <w:sz w:val="40"/>
          <w:szCs w:val="40"/>
        </w:rPr>
      </w:pPr>
      <w:bookmarkStart w:id="32" w:name="_Toc101972227"/>
    </w:p>
    <w:p w14:paraId="3AC9A18B" w14:textId="6447202B" w:rsidR="00624738" w:rsidRDefault="00624738" w:rsidP="002F573D">
      <w:pPr>
        <w:spacing w:line="276" w:lineRule="auto"/>
      </w:pPr>
    </w:p>
    <w:p w14:paraId="17AA0730" w14:textId="77777777" w:rsidR="00624738" w:rsidRPr="00624738" w:rsidRDefault="00624738" w:rsidP="002F573D">
      <w:pPr>
        <w:spacing w:line="276" w:lineRule="auto"/>
      </w:pPr>
    </w:p>
    <w:p w14:paraId="1A0794B4" w14:textId="55359004" w:rsidR="0034209D" w:rsidRPr="00CB769B" w:rsidRDefault="0034209D" w:rsidP="002F573D">
      <w:pPr>
        <w:pStyle w:val="Heading1"/>
        <w:spacing w:line="276" w:lineRule="auto"/>
        <w:rPr>
          <w:sz w:val="40"/>
          <w:szCs w:val="40"/>
        </w:rPr>
      </w:pPr>
      <w:bookmarkStart w:id="33" w:name="_Toc102048551"/>
      <w:r w:rsidRPr="00CB769B">
        <w:rPr>
          <w:sz w:val="40"/>
          <w:szCs w:val="40"/>
        </w:rPr>
        <w:t>Materials and Methods</w:t>
      </w:r>
      <w:bookmarkEnd w:id="32"/>
      <w:bookmarkEnd w:id="33"/>
    </w:p>
    <w:p w14:paraId="2FE0785C" w14:textId="77777777" w:rsidR="0034209D" w:rsidRPr="00C331B8" w:rsidRDefault="0034209D" w:rsidP="002F573D">
      <w:pPr>
        <w:pStyle w:val="Heading2"/>
        <w:spacing w:line="276" w:lineRule="auto"/>
        <w:rPr>
          <w:color w:val="4472C4" w:themeColor="accent1"/>
        </w:rPr>
      </w:pPr>
      <w:bookmarkStart w:id="34" w:name="_Toc101972228"/>
      <w:bookmarkStart w:id="35" w:name="_Toc102048552"/>
      <w:r w:rsidRPr="00C331B8">
        <w:rPr>
          <w:color w:val="4472C4" w:themeColor="accent1"/>
        </w:rPr>
        <w:t>Testing Toxicity of Potential Nucleosides</w:t>
      </w:r>
      <w:bookmarkEnd w:id="34"/>
      <w:bookmarkEnd w:id="35"/>
    </w:p>
    <w:p w14:paraId="51763963" w14:textId="77777777" w:rsidR="0034209D" w:rsidRPr="00D329CB" w:rsidRDefault="0034209D" w:rsidP="002F573D">
      <w:pPr>
        <w:pStyle w:val="Heading3"/>
        <w:spacing w:line="276" w:lineRule="auto"/>
      </w:pPr>
      <w:bookmarkStart w:id="36" w:name="_Toc102048553"/>
      <w:r w:rsidRPr="00D329CB">
        <w:t>Acute Growth Curves</w:t>
      </w:r>
      <w:bookmarkEnd w:id="36"/>
    </w:p>
    <w:p w14:paraId="3F846E3F" w14:textId="3FC8308A" w:rsidR="0034209D" w:rsidRPr="0034209D" w:rsidRDefault="0034209D" w:rsidP="0070619D">
      <w:pPr>
        <w:spacing w:after="0" w:line="276" w:lineRule="auto"/>
        <w:ind w:firstLine="180"/>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 xml:space="preserve">Yeast cells were grown in 5 mL culture tubes and then transferred to 4 50 mL flasks at a concentration of 0.5 OD. Flasks were treated with </w:t>
      </w:r>
      <w:proofErr w:type="spellStart"/>
      <w:r w:rsidRPr="0034209D">
        <w:rPr>
          <w:rFonts w:ascii="Times New Roman" w:eastAsia="Times New Roman" w:hAnsi="Times New Roman" w:cs="Times New Roman"/>
          <w:color w:val="000000"/>
          <w:sz w:val="24"/>
          <w:szCs w:val="24"/>
        </w:rPr>
        <w:t>VdU</w:t>
      </w:r>
      <w:proofErr w:type="spellEnd"/>
      <w:r w:rsidRPr="0034209D">
        <w:rPr>
          <w:rFonts w:ascii="Times New Roman" w:eastAsia="Times New Roman" w:hAnsi="Times New Roman" w:cs="Times New Roman"/>
          <w:color w:val="000000"/>
          <w:sz w:val="24"/>
          <w:szCs w:val="24"/>
        </w:rPr>
        <w:t xml:space="preserve">, </w:t>
      </w:r>
      <w:proofErr w:type="spellStart"/>
      <w:r w:rsidRPr="0034209D">
        <w:rPr>
          <w:rFonts w:ascii="Times New Roman" w:eastAsia="Times New Roman" w:hAnsi="Times New Roman" w:cs="Times New Roman"/>
          <w:color w:val="000000"/>
          <w:sz w:val="24"/>
          <w:szCs w:val="24"/>
        </w:rPr>
        <w:t>AmdU</w:t>
      </w:r>
      <w:proofErr w:type="spellEnd"/>
      <w:r w:rsidRPr="0034209D">
        <w:rPr>
          <w:rFonts w:ascii="Times New Roman" w:eastAsia="Times New Roman" w:hAnsi="Times New Roman" w:cs="Times New Roman"/>
          <w:color w:val="000000"/>
          <w:sz w:val="24"/>
          <w:szCs w:val="24"/>
        </w:rPr>
        <w:t xml:space="preserve">, </w:t>
      </w:r>
      <w:proofErr w:type="spellStart"/>
      <w:r w:rsidRPr="0034209D">
        <w:rPr>
          <w:rFonts w:ascii="Times New Roman" w:eastAsia="Times New Roman" w:hAnsi="Times New Roman" w:cs="Times New Roman"/>
          <w:color w:val="000000"/>
          <w:sz w:val="24"/>
          <w:szCs w:val="24"/>
        </w:rPr>
        <w:t>BrdU</w:t>
      </w:r>
      <w:proofErr w:type="spellEnd"/>
      <w:r w:rsidRPr="0034209D">
        <w:rPr>
          <w:rFonts w:ascii="Times New Roman" w:eastAsia="Times New Roman" w:hAnsi="Times New Roman" w:cs="Times New Roman"/>
          <w:color w:val="000000"/>
          <w:sz w:val="24"/>
          <w:szCs w:val="24"/>
        </w:rPr>
        <w:t xml:space="preserve">, </w:t>
      </w:r>
      <w:proofErr w:type="spellStart"/>
      <w:r w:rsidRPr="0034209D">
        <w:rPr>
          <w:rFonts w:ascii="Times New Roman" w:eastAsia="Times New Roman" w:hAnsi="Times New Roman" w:cs="Times New Roman"/>
          <w:color w:val="000000"/>
          <w:sz w:val="24"/>
          <w:szCs w:val="24"/>
        </w:rPr>
        <w:t>CldU</w:t>
      </w:r>
      <w:proofErr w:type="spellEnd"/>
      <w:r w:rsidRPr="0034209D">
        <w:rPr>
          <w:rFonts w:ascii="Times New Roman" w:eastAsia="Times New Roman" w:hAnsi="Times New Roman" w:cs="Times New Roman"/>
          <w:color w:val="000000"/>
          <w:sz w:val="24"/>
          <w:szCs w:val="24"/>
        </w:rPr>
        <w:t xml:space="preserve">, </w:t>
      </w:r>
      <w:proofErr w:type="spellStart"/>
      <w:r w:rsidRPr="0034209D">
        <w:rPr>
          <w:rFonts w:ascii="Times New Roman" w:eastAsia="Times New Roman" w:hAnsi="Times New Roman" w:cs="Times New Roman"/>
          <w:color w:val="000000"/>
          <w:sz w:val="24"/>
          <w:szCs w:val="24"/>
        </w:rPr>
        <w:t>IdU</w:t>
      </w:r>
      <w:proofErr w:type="spellEnd"/>
      <w:r w:rsidRPr="0034209D">
        <w:rPr>
          <w:rFonts w:ascii="Times New Roman" w:eastAsia="Times New Roman" w:hAnsi="Times New Roman" w:cs="Times New Roman"/>
          <w:color w:val="000000"/>
          <w:sz w:val="24"/>
          <w:szCs w:val="24"/>
        </w:rPr>
        <w:t xml:space="preserve">, and </w:t>
      </w:r>
      <w:proofErr w:type="spellStart"/>
      <w:r w:rsidRPr="0034209D">
        <w:rPr>
          <w:rFonts w:ascii="Times New Roman" w:eastAsia="Times New Roman" w:hAnsi="Times New Roman" w:cs="Times New Roman"/>
          <w:color w:val="000000"/>
          <w:sz w:val="24"/>
          <w:szCs w:val="24"/>
        </w:rPr>
        <w:t>EdU</w:t>
      </w:r>
      <w:proofErr w:type="spellEnd"/>
      <w:r w:rsidRPr="0034209D">
        <w:rPr>
          <w:rFonts w:ascii="Times New Roman" w:eastAsia="Times New Roman" w:hAnsi="Times New Roman" w:cs="Times New Roman"/>
          <w:color w:val="000000"/>
          <w:sz w:val="24"/>
          <w:szCs w:val="24"/>
        </w:rPr>
        <w:t xml:space="preserve"> at concentrations (insert concentrations). After 4hrs, the OD was </w:t>
      </w:r>
      <w:r w:rsidR="001A6AFC" w:rsidRPr="0034209D">
        <w:rPr>
          <w:rFonts w:ascii="Times New Roman" w:eastAsia="Times New Roman" w:hAnsi="Times New Roman" w:cs="Times New Roman"/>
          <w:color w:val="000000"/>
          <w:sz w:val="24"/>
          <w:szCs w:val="24"/>
        </w:rPr>
        <w:t>measured,</w:t>
      </w:r>
      <w:r w:rsidRPr="0034209D">
        <w:rPr>
          <w:rFonts w:ascii="Times New Roman" w:eastAsia="Times New Roman" w:hAnsi="Times New Roman" w:cs="Times New Roman"/>
          <w:color w:val="000000"/>
          <w:sz w:val="24"/>
          <w:szCs w:val="24"/>
        </w:rPr>
        <w:t xml:space="preserve"> and samples were taken from each flask to determine morphological changes in the yeast cells. From microscope pictures, the percent septation of the cultures was also calculated. The flasks were then allowed to grow overnight, with a similar procedure occurring at the end of this time frame.  </w:t>
      </w:r>
    </w:p>
    <w:p w14:paraId="56863436" w14:textId="77777777" w:rsidR="0034209D" w:rsidRPr="00D329CB" w:rsidRDefault="0034209D" w:rsidP="002F573D">
      <w:pPr>
        <w:pStyle w:val="Heading3"/>
        <w:spacing w:line="276" w:lineRule="auto"/>
      </w:pPr>
      <w:bookmarkStart w:id="37" w:name="_Toc102048554"/>
      <w:r w:rsidRPr="00D329CB">
        <w:t>Long-Term Growth Curves</w:t>
      </w:r>
      <w:bookmarkEnd w:id="37"/>
    </w:p>
    <w:p w14:paraId="758DE6D6" w14:textId="6ECE30D6" w:rsidR="0034209D" w:rsidRDefault="0034209D" w:rsidP="0070619D">
      <w:pPr>
        <w:spacing w:after="0" w:line="276" w:lineRule="auto"/>
        <w:ind w:firstLine="180"/>
        <w:rPr>
          <w:rFonts w:ascii="Times New Roman" w:eastAsia="Times New Roman" w:hAnsi="Times New Roman" w:cs="Times New Roman"/>
          <w:color w:val="000000"/>
          <w:sz w:val="24"/>
          <w:szCs w:val="24"/>
        </w:rPr>
      </w:pPr>
      <w:r w:rsidRPr="0034209D">
        <w:rPr>
          <w:rFonts w:ascii="Times New Roman" w:eastAsia="Times New Roman" w:hAnsi="Times New Roman" w:cs="Times New Roman"/>
          <w:color w:val="000000"/>
          <w:sz w:val="24"/>
          <w:szCs w:val="24"/>
        </w:rPr>
        <w:t>Yeast cells were plated into a 96 well plate at a concentration of 0.05 OD and treated with 1uM 10</w:t>
      </w:r>
      <w:r w:rsidR="00372EF1">
        <w:rPr>
          <w:rFonts w:ascii="Times New Roman" w:eastAsia="Times New Roman" w:hAnsi="Times New Roman" w:cs="Times New Roman"/>
          <w:color w:val="000000"/>
          <w:sz w:val="24"/>
          <w:szCs w:val="24"/>
        </w:rPr>
        <w:t>u</w:t>
      </w:r>
      <w:r w:rsidRPr="0034209D">
        <w:rPr>
          <w:rFonts w:ascii="Times New Roman" w:eastAsia="Times New Roman" w:hAnsi="Times New Roman" w:cs="Times New Roman"/>
          <w:color w:val="000000"/>
          <w:sz w:val="24"/>
          <w:szCs w:val="24"/>
        </w:rPr>
        <w:t xml:space="preserve">M, 33uM, and 100uM of the analogs used in the acute growth curves. The 96-well plates were placed on the optical spectrometer </w:t>
      </w:r>
      <w:r w:rsidR="00624738" w:rsidRPr="0034209D">
        <w:rPr>
          <w:rFonts w:ascii="Times New Roman" w:eastAsia="Times New Roman" w:hAnsi="Times New Roman" w:cs="Times New Roman"/>
          <w:color w:val="000000"/>
          <w:sz w:val="24"/>
          <w:szCs w:val="24"/>
        </w:rPr>
        <w:t>to</w:t>
      </w:r>
      <w:r w:rsidRPr="0034209D">
        <w:rPr>
          <w:rFonts w:ascii="Times New Roman" w:eastAsia="Times New Roman" w:hAnsi="Times New Roman" w:cs="Times New Roman"/>
          <w:color w:val="000000"/>
          <w:sz w:val="24"/>
          <w:szCs w:val="24"/>
        </w:rPr>
        <w:t xml:space="preserve"> measure the OD over a time frame of 32 hrs. Growth curves were determined from the OD data and inferred doubling times were compared to determine the long-term toxicity of analogs. </w:t>
      </w:r>
    </w:p>
    <w:p w14:paraId="5FDD9D2C" w14:textId="77777777" w:rsidR="0034209D" w:rsidRPr="0034209D" w:rsidRDefault="0034209D" w:rsidP="002F573D">
      <w:pPr>
        <w:spacing w:after="0" w:line="276" w:lineRule="auto"/>
        <w:rPr>
          <w:rFonts w:ascii="Times New Roman" w:eastAsia="Times New Roman" w:hAnsi="Times New Roman" w:cs="Times New Roman"/>
          <w:sz w:val="24"/>
          <w:szCs w:val="24"/>
        </w:rPr>
      </w:pPr>
    </w:p>
    <w:p w14:paraId="53E37D85" w14:textId="77777777" w:rsidR="0034209D" w:rsidRPr="00C331B8" w:rsidRDefault="0034209D" w:rsidP="002F573D">
      <w:pPr>
        <w:pStyle w:val="Heading2"/>
        <w:spacing w:line="276" w:lineRule="auto"/>
        <w:rPr>
          <w:color w:val="4472C4" w:themeColor="accent1"/>
        </w:rPr>
      </w:pPr>
      <w:bookmarkStart w:id="38" w:name="_Toc101972229"/>
      <w:bookmarkStart w:id="39" w:name="_Toc102048555"/>
      <w:r w:rsidRPr="00C331B8">
        <w:rPr>
          <w:color w:val="4472C4" w:themeColor="accent1"/>
        </w:rPr>
        <w:t xml:space="preserve">Testing Incorporation of </w:t>
      </w:r>
      <w:proofErr w:type="spellStart"/>
      <w:r w:rsidRPr="00C331B8">
        <w:rPr>
          <w:color w:val="4472C4" w:themeColor="accent1"/>
        </w:rPr>
        <w:t>VdU</w:t>
      </w:r>
      <w:bookmarkEnd w:id="38"/>
      <w:bookmarkEnd w:id="39"/>
      <w:proofErr w:type="spellEnd"/>
    </w:p>
    <w:p w14:paraId="59533DAB" w14:textId="77777777" w:rsidR="0034209D" w:rsidRPr="00D329CB" w:rsidRDefault="0034209D" w:rsidP="002F573D">
      <w:pPr>
        <w:pStyle w:val="Heading3"/>
        <w:spacing w:line="276" w:lineRule="auto"/>
      </w:pPr>
      <w:bookmarkStart w:id="40" w:name="_Toc102048556"/>
      <w:r w:rsidRPr="00D329CB">
        <w:t>Cell Preparation</w:t>
      </w:r>
      <w:bookmarkEnd w:id="40"/>
    </w:p>
    <w:p w14:paraId="6971A79A" w14:textId="5FF94E31" w:rsidR="0034209D" w:rsidRDefault="0034209D" w:rsidP="00DB44DD">
      <w:pPr>
        <w:spacing w:after="0" w:line="276" w:lineRule="auto"/>
        <w:ind w:firstLine="180"/>
        <w:rPr>
          <w:rFonts w:ascii="Times New Roman" w:eastAsia="Times New Roman" w:hAnsi="Times New Roman" w:cs="Times New Roman"/>
          <w:color w:val="000000"/>
          <w:sz w:val="24"/>
          <w:szCs w:val="24"/>
        </w:rPr>
      </w:pPr>
      <w:r w:rsidRPr="0034209D">
        <w:rPr>
          <w:rFonts w:ascii="Times New Roman" w:eastAsia="Times New Roman" w:hAnsi="Times New Roman" w:cs="Times New Roman"/>
          <w:color w:val="000000"/>
          <w:sz w:val="24"/>
          <w:szCs w:val="24"/>
        </w:rPr>
        <w:t xml:space="preserve">HeLa, human epithelial cells, were thawed from a stock solution by gentle agitation in a 37°C water bath for approximately 2 minutes. Transfer of vial conditions was done in aseptic conditions to a centrifuge tube containing 9.0 mL complete culture medium and spinning at approximately 125 </w:t>
      </w:r>
      <w:proofErr w:type="spellStart"/>
      <w:r w:rsidRPr="0034209D">
        <w:rPr>
          <w:rFonts w:ascii="Times New Roman" w:eastAsia="Times New Roman" w:hAnsi="Times New Roman" w:cs="Times New Roman"/>
          <w:color w:val="000000"/>
          <w:sz w:val="24"/>
          <w:szCs w:val="24"/>
        </w:rPr>
        <w:t>xg</w:t>
      </w:r>
      <w:proofErr w:type="spellEnd"/>
      <w:r w:rsidRPr="0034209D">
        <w:rPr>
          <w:rFonts w:ascii="Times New Roman" w:eastAsia="Times New Roman" w:hAnsi="Times New Roman" w:cs="Times New Roman"/>
          <w:color w:val="000000"/>
          <w:sz w:val="24"/>
          <w:szCs w:val="24"/>
        </w:rPr>
        <w:t xml:space="preserve"> for 5 to7 minutes. To make the complete growth medium, add the following components to the base medium: fetal bovine serum to a final concentration of 10%. Resuspend the cell pellets were then placed into a 25 cm2, then moved to a 75 cm2 culture flask. Cells were </w:t>
      </w:r>
      <w:r w:rsidR="0077740D" w:rsidRPr="0034209D">
        <w:rPr>
          <w:rFonts w:ascii="Times New Roman" w:eastAsia="Times New Roman" w:hAnsi="Times New Roman" w:cs="Times New Roman"/>
          <w:color w:val="000000"/>
          <w:sz w:val="24"/>
          <w:szCs w:val="24"/>
        </w:rPr>
        <w:t>subculture</w:t>
      </w:r>
      <w:r w:rsidRPr="0034209D">
        <w:rPr>
          <w:rFonts w:ascii="Times New Roman" w:eastAsia="Times New Roman" w:hAnsi="Times New Roman" w:cs="Times New Roman"/>
          <w:color w:val="000000"/>
          <w:sz w:val="24"/>
          <w:szCs w:val="24"/>
        </w:rPr>
        <w:t xml:space="preserve"> until reaching 75-90% density for </w:t>
      </w:r>
      <w:proofErr w:type="spellStart"/>
      <w:r w:rsidRPr="0034209D">
        <w:rPr>
          <w:rFonts w:ascii="Times New Roman" w:eastAsia="Times New Roman" w:hAnsi="Times New Roman" w:cs="Times New Roman"/>
          <w:color w:val="000000"/>
          <w:sz w:val="24"/>
          <w:szCs w:val="24"/>
        </w:rPr>
        <w:t>VdU</w:t>
      </w:r>
      <w:proofErr w:type="spellEnd"/>
      <w:r w:rsidRPr="0034209D">
        <w:rPr>
          <w:rFonts w:ascii="Times New Roman" w:eastAsia="Times New Roman" w:hAnsi="Times New Roman" w:cs="Times New Roman"/>
          <w:color w:val="000000"/>
          <w:sz w:val="24"/>
          <w:szCs w:val="24"/>
        </w:rPr>
        <w:t xml:space="preserve"> incorporation in Corning® T-75 flasks</w:t>
      </w:r>
      <w:r w:rsidR="002611AD">
        <w:rPr>
          <w:rFonts w:ascii="Times New Roman" w:eastAsia="Times New Roman" w:hAnsi="Times New Roman" w:cs="Times New Roman"/>
          <w:color w:val="000000"/>
          <w:sz w:val="24"/>
          <w:szCs w:val="24"/>
        </w:rPr>
        <w:t xml:space="preserve"> (ATCC)</w:t>
      </w:r>
      <w:r w:rsidRPr="0034209D">
        <w:rPr>
          <w:rFonts w:ascii="Times New Roman" w:eastAsia="Times New Roman" w:hAnsi="Times New Roman" w:cs="Times New Roman"/>
          <w:color w:val="000000"/>
          <w:sz w:val="24"/>
          <w:szCs w:val="24"/>
        </w:rPr>
        <w:t>. </w:t>
      </w:r>
    </w:p>
    <w:p w14:paraId="522B3D95" w14:textId="5FE655D8" w:rsidR="00922BB3" w:rsidRDefault="00922BB3" w:rsidP="002F573D">
      <w:pPr>
        <w:spacing w:after="0" w:line="276" w:lineRule="auto"/>
        <w:rPr>
          <w:rFonts w:ascii="Times New Roman" w:eastAsia="Times New Roman" w:hAnsi="Times New Roman" w:cs="Times New Roman"/>
          <w:color w:val="000000"/>
          <w:sz w:val="24"/>
          <w:szCs w:val="24"/>
        </w:rPr>
      </w:pPr>
    </w:p>
    <w:p w14:paraId="22781BB5" w14:textId="74CBB93B" w:rsidR="00922BB3" w:rsidRDefault="00922BB3" w:rsidP="002F573D">
      <w:pPr>
        <w:spacing w:after="0" w:line="276" w:lineRule="auto"/>
        <w:rPr>
          <w:rFonts w:ascii="Times New Roman" w:eastAsia="Times New Roman" w:hAnsi="Times New Roman" w:cs="Times New Roman"/>
          <w:color w:val="000000"/>
          <w:sz w:val="24"/>
          <w:szCs w:val="24"/>
        </w:rPr>
      </w:pPr>
    </w:p>
    <w:p w14:paraId="468DFB67" w14:textId="77777777" w:rsidR="00922BB3" w:rsidRPr="0034209D" w:rsidRDefault="00922BB3" w:rsidP="002F573D">
      <w:pPr>
        <w:spacing w:after="0" w:line="276" w:lineRule="auto"/>
        <w:rPr>
          <w:rFonts w:ascii="Times New Roman" w:eastAsia="Times New Roman" w:hAnsi="Times New Roman" w:cs="Times New Roman"/>
          <w:sz w:val="24"/>
          <w:szCs w:val="24"/>
        </w:rPr>
      </w:pPr>
    </w:p>
    <w:p w14:paraId="4837C105" w14:textId="77777777" w:rsidR="0034209D" w:rsidRPr="00D329CB" w:rsidRDefault="0034209D" w:rsidP="002F573D">
      <w:pPr>
        <w:pStyle w:val="Heading3"/>
        <w:spacing w:line="276" w:lineRule="auto"/>
      </w:pPr>
      <w:bookmarkStart w:id="41" w:name="_Toc102048557"/>
      <w:r w:rsidRPr="00D329CB">
        <w:lastRenderedPageBreak/>
        <w:t xml:space="preserve">Incorporating </w:t>
      </w:r>
      <w:proofErr w:type="spellStart"/>
      <w:r w:rsidRPr="00D329CB">
        <w:t>VdU</w:t>
      </w:r>
      <w:proofErr w:type="spellEnd"/>
      <w:r w:rsidRPr="00D329CB">
        <w:t xml:space="preserve"> and </w:t>
      </w:r>
      <w:proofErr w:type="spellStart"/>
      <w:r w:rsidRPr="00D329CB">
        <w:t>dI</w:t>
      </w:r>
      <w:proofErr w:type="spellEnd"/>
      <w:r w:rsidRPr="00D329CB">
        <w:t xml:space="preserve"> into HeLa Cells</w:t>
      </w:r>
      <w:bookmarkEnd w:id="41"/>
      <w:r w:rsidRPr="00D329CB">
        <w:t> </w:t>
      </w:r>
    </w:p>
    <w:p w14:paraId="1EDF3B17" w14:textId="4DA2302A" w:rsidR="001906BE" w:rsidRPr="002F573D" w:rsidRDefault="0034209D" w:rsidP="00DB44DD">
      <w:pPr>
        <w:spacing w:after="0" w:line="276" w:lineRule="auto"/>
        <w:ind w:firstLine="180"/>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 xml:space="preserve">HeLa cells were </w:t>
      </w:r>
      <w:r w:rsidR="00D329CB" w:rsidRPr="0034209D">
        <w:rPr>
          <w:rFonts w:ascii="Times New Roman" w:eastAsia="Times New Roman" w:hAnsi="Times New Roman" w:cs="Times New Roman"/>
          <w:color w:val="000000"/>
          <w:sz w:val="24"/>
          <w:szCs w:val="24"/>
        </w:rPr>
        <w:t>subculture</w:t>
      </w:r>
      <w:r w:rsidRPr="0034209D">
        <w:rPr>
          <w:rFonts w:ascii="Times New Roman" w:eastAsia="Times New Roman" w:hAnsi="Times New Roman" w:cs="Times New Roman"/>
          <w:color w:val="000000"/>
          <w:sz w:val="24"/>
          <w:szCs w:val="24"/>
        </w:rPr>
        <w:t xml:space="preserve"> from the stock solution in Corning® T-75 flasks. The culture medium was removed and discarded. Cells were briefly rinsed with </w:t>
      </w:r>
      <w:r w:rsidR="00D329CB" w:rsidRPr="0034209D">
        <w:rPr>
          <w:rFonts w:ascii="Times New Roman" w:eastAsia="Times New Roman" w:hAnsi="Times New Roman" w:cs="Times New Roman"/>
          <w:color w:val="000000"/>
          <w:sz w:val="24"/>
          <w:szCs w:val="24"/>
        </w:rPr>
        <w:t>PBS solution</w:t>
      </w:r>
      <w:r w:rsidRPr="0034209D">
        <w:rPr>
          <w:rFonts w:ascii="Times New Roman" w:eastAsia="Times New Roman" w:hAnsi="Times New Roman" w:cs="Times New Roman"/>
          <w:color w:val="000000"/>
          <w:sz w:val="24"/>
          <w:szCs w:val="24"/>
        </w:rPr>
        <w:t xml:space="preserve"> to remove all traces of serum that contains trypsin inhibitor. Approximately 1ml of Trypsin-EDTA solution was added to the flask until the cell layer is dispersed. After cells are properly dispersed, 9 ml of complete growth medium was added by gentle pipetting 5-6 times to remove clumping</w:t>
      </w:r>
      <w:r w:rsidR="002611AD">
        <w:rPr>
          <w:rFonts w:ascii="Times New Roman" w:eastAsia="Times New Roman" w:hAnsi="Times New Roman" w:cs="Times New Roman"/>
          <w:color w:val="000000"/>
          <w:sz w:val="24"/>
          <w:szCs w:val="24"/>
        </w:rPr>
        <w:t xml:space="preserve"> (ATCC)</w:t>
      </w:r>
      <w:r w:rsidRPr="0034209D">
        <w:rPr>
          <w:rFonts w:ascii="Times New Roman" w:eastAsia="Times New Roman" w:hAnsi="Times New Roman" w:cs="Times New Roman"/>
          <w:color w:val="000000"/>
          <w:sz w:val="24"/>
          <w:szCs w:val="24"/>
        </w:rPr>
        <w:t xml:space="preserve">. Cells were separated into 2ml aliquots into four 15 cm dishes, with the remaining cells added back to the stock solution before dilution. Dishes were then brought up to 20ml in a culture medium and grown overnight at 37°C. After 16hrs and once cells properly adhere to the dish surface concentrations of 10 </w:t>
      </w:r>
      <w:proofErr w:type="spellStart"/>
      <w:r w:rsidRPr="0034209D">
        <w:rPr>
          <w:rFonts w:ascii="Times New Roman" w:eastAsia="Times New Roman" w:hAnsi="Times New Roman" w:cs="Times New Roman"/>
          <w:color w:val="000000"/>
          <w:sz w:val="24"/>
          <w:szCs w:val="24"/>
        </w:rPr>
        <w:t>uM</w:t>
      </w:r>
      <w:proofErr w:type="spellEnd"/>
      <w:r w:rsidRPr="0034209D">
        <w:rPr>
          <w:rFonts w:ascii="Times New Roman" w:eastAsia="Times New Roman" w:hAnsi="Times New Roman" w:cs="Times New Roman"/>
          <w:color w:val="000000"/>
          <w:sz w:val="24"/>
          <w:szCs w:val="24"/>
        </w:rPr>
        <w:t xml:space="preserve">, 33 </w:t>
      </w:r>
      <w:proofErr w:type="spellStart"/>
      <w:r w:rsidRPr="0034209D">
        <w:rPr>
          <w:rFonts w:ascii="Times New Roman" w:eastAsia="Times New Roman" w:hAnsi="Times New Roman" w:cs="Times New Roman"/>
          <w:color w:val="000000"/>
          <w:sz w:val="24"/>
          <w:szCs w:val="24"/>
        </w:rPr>
        <w:t>uM</w:t>
      </w:r>
      <w:proofErr w:type="spellEnd"/>
      <w:r w:rsidRPr="0034209D">
        <w:rPr>
          <w:rFonts w:ascii="Times New Roman" w:eastAsia="Times New Roman" w:hAnsi="Times New Roman" w:cs="Times New Roman"/>
          <w:color w:val="000000"/>
          <w:sz w:val="24"/>
          <w:szCs w:val="24"/>
        </w:rPr>
        <w:t xml:space="preserve">, and 80 </w:t>
      </w:r>
      <w:proofErr w:type="spellStart"/>
      <w:proofErr w:type="gramStart"/>
      <w:r w:rsidRPr="0034209D">
        <w:rPr>
          <w:rFonts w:ascii="Times New Roman" w:eastAsia="Times New Roman" w:hAnsi="Times New Roman" w:cs="Times New Roman"/>
          <w:color w:val="000000"/>
          <w:sz w:val="24"/>
          <w:szCs w:val="24"/>
        </w:rPr>
        <w:t>uM</w:t>
      </w:r>
      <w:proofErr w:type="spellEnd"/>
      <w:proofErr w:type="gramEnd"/>
      <w:r w:rsidRPr="0034209D">
        <w:rPr>
          <w:rFonts w:ascii="Times New Roman" w:eastAsia="Times New Roman" w:hAnsi="Times New Roman" w:cs="Times New Roman"/>
          <w:color w:val="000000"/>
          <w:sz w:val="24"/>
          <w:szCs w:val="24"/>
        </w:rPr>
        <w:t xml:space="preserve"> of either </w:t>
      </w:r>
      <w:proofErr w:type="spellStart"/>
      <w:r w:rsidRPr="0034209D">
        <w:rPr>
          <w:rFonts w:ascii="Times New Roman" w:eastAsia="Times New Roman" w:hAnsi="Times New Roman" w:cs="Times New Roman"/>
          <w:color w:val="000000"/>
          <w:sz w:val="24"/>
          <w:szCs w:val="24"/>
        </w:rPr>
        <w:t>VdU</w:t>
      </w:r>
      <w:proofErr w:type="spellEnd"/>
      <w:r w:rsidRPr="0034209D">
        <w:rPr>
          <w:rFonts w:ascii="Times New Roman" w:eastAsia="Times New Roman" w:hAnsi="Times New Roman" w:cs="Times New Roman"/>
          <w:color w:val="000000"/>
          <w:sz w:val="24"/>
          <w:szCs w:val="24"/>
        </w:rPr>
        <w:t xml:space="preserve"> and </w:t>
      </w:r>
      <w:proofErr w:type="spellStart"/>
      <w:r w:rsidRPr="0034209D">
        <w:rPr>
          <w:rFonts w:ascii="Times New Roman" w:eastAsia="Times New Roman" w:hAnsi="Times New Roman" w:cs="Times New Roman"/>
          <w:color w:val="000000"/>
          <w:sz w:val="24"/>
          <w:szCs w:val="24"/>
        </w:rPr>
        <w:t>dI</w:t>
      </w:r>
      <w:proofErr w:type="spellEnd"/>
      <w:r w:rsidRPr="0034209D">
        <w:rPr>
          <w:rFonts w:ascii="Times New Roman" w:eastAsia="Times New Roman" w:hAnsi="Times New Roman" w:cs="Times New Roman"/>
          <w:color w:val="000000"/>
          <w:sz w:val="24"/>
          <w:szCs w:val="24"/>
        </w:rPr>
        <w:t xml:space="preserve"> were added and incubated for 24 hrs. </w:t>
      </w:r>
    </w:p>
    <w:p w14:paraId="51F306FA" w14:textId="5B0661B5" w:rsidR="0034209D" w:rsidRPr="00D329CB" w:rsidRDefault="0034209D" w:rsidP="002F573D">
      <w:pPr>
        <w:pStyle w:val="Heading3"/>
        <w:spacing w:line="276" w:lineRule="auto"/>
      </w:pPr>
      <w:bookmarkStart w:id="42" w:name="_Toc102048558"/>
      <w:r w:rsidRPr="00D329CB">
        <w:t>Purification of Conjugated DNA</w:t>
      </w:r>
      <w:bookmarkEnd w:id="42"/>
      <w:r w:rsidRPr="00D329CB">
        <w:t> </w:t>
      </w:r>
    </w:p>
    <w:p w14:paraId="735F7C69" w14:textId="77777777" w:rsidR="0034209D" w:rsidRPr="0034209D" w:rsidRDefault="0034209D" w:rsidP="00DB44DD">
      <w:pPr>
        <w:spacing w:after="0" w:line="276" w:lineRule="auto"/>
        <w:ind w:firstLine="180"/>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 xml:space="preserve">Media was aspirated and cells were washed 2x PBS on ice before lysing for 10 min at 35 C. Cell scrapers were used to detach excess cells, which were then separated by 1ml into separate tubes. For every 1ml of lysate, cells were treated with 50 </w:t>
      </w:r>
      <w:proofErr w:type="spellStart"/>
      <w:r w:rsidRPr="0034209D">
        <w:rPr>
          <w:rFonts w:ascii="Times New Roman" w:eastAsia="Times New Roman" w:hAnsi="Times New Roman" w:cs="Times New Roman"/>
          <w:color w:val="000000"/>
          <w:sz w:val="24"/>
          <w:szCs w:val="24"/>
        </w:rPr>
        <w:t>ul</w:t>
      </w:r>
      <w:proofErr w:type="spellEnd"/>
      <w:r w:rsidRPr="0034209D">
        <w:rPr>
          <w:rFonts w:ascii="Times New Roman" w:eastAsia="Times New Roman" w:hAnsi="Times New Roman" w:cs="Times New Roman"/>
          <w:color w:val="000000"/>
          <w:sz w:val="24"/>
          <w:szCs w:val="24"/>
        </w:rPr>
        <w:t xml:space="preserve"> of proteinase K. Samples were then incubated at 65 C for 24 hrs. Samples were equilibrated to RT and 50 </w:t>
      </w:r>
      <w:proofErr w:type="spellStart"/>
      <w:r w:rsidRPr="0034209D">
        <w:rPr>
          <w:rFonts w:ascii="Times New Roman" w:eastAsia="Times New Roman" w:hAnsi="Times New Roman" w:cs="Times New Roman"/>
          <w:color w:val="000000"/>
          <w:sz w:val="24"/>
          <w:szCs w:val="24"/>
        </w:rPr>
        <w:t>ul</w:t>
      </w:r>
      <w:proofErr w:type="spellEnd"/>
      <w:r w:rsidRPr="0034209D">
        <w:rPr>
          <w:rFonts w:ascii="Times New Roman" w:eastAsia="Times New Roman" w:hAnsi="Times New Roman" w:cs="Times New Roman"/>
          <w:color w:val="000000"/>
          <w:sz w:val="24"/>
          <w:szCs w:val="24"/>
        </w:rPr>
        <w:t xml:space="preserve"> was removed for assessment of nucleic acid content via polymerase gels. Samples were then phenol/chloroform extracted and were then precipitated with ethanol. Samples were resuspended in water before being treated with RNase. </w:t>
      </w:r>
    </w:p>
    <w:p w14:paraId="3134AEF3" w14:textId="77777777" w:rsidR="0034209D" w:rsidRPr="00BF0EBC" w:rsidRDefault="0034209D" w:rsidP="002F573D">
      <w:pPr>
        <w:pStyle w:val="Heading3"/>
        <w:spacing w:line="276" w:lineRule="auto"/>
      </w:pPr>
      <w:bookmarkStart w:id="43" w:name="_Toc102048559"/>
      <w:r w:rsidRPr="00BF0EBC">
        <w:t>Measuring Incorporation</w:t>
      </w:r>
      <w:bookmarkEnd w:id="43"/>
      <w:r w:rsidRPr="00BF0EBC">
        <w:t> </w:t>
      </w:r>
    </w:p>
    <w:p w14:paraId="4D285BD8" w14:textId="77777777" w:rsidR="0034209D" w:rsidRPr="0034209D" w:rsidRDefault="0034209D" w:rsidP="00DB44DD">
      <w:pPr>
        <w:spacing w:after="0" w:line="276" w:lineRule="auto"/>
        <w:ind w:firstLine="180"/>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 xml:space="preserve">The incorporation of </w:t>
      </w:r>
      <w:proofErr w:type="spellStart"/>
      <w:r w:rsidRPr="0034209D">
        <w:rPr>
          <w:rFonts w:ascii="Times New Roman" w:eastAsia="Times New Roman" w:hAnsi="Times New Roman" w:cs="Times New Roman"/>
          <w:color w:val="000000"/>
          <w:sz w:val="24"/>
          <w:szCs w:val="24"/>
        </w:rPr>
        <w:t>VdU</w:t>
      </w:r>
      <w:proofErr w:type="spellEnd"/>
      <w:r w:rsidRPr="0034209D">
        <w:rPr>
          <w:rFonts w:ascii="Times New Roman" w:eastAsia="Times New Roman" w:hAnsi="Times New Roman" w:cs="Times New Roman"/>
          <w:color w:val="000000"/>
          <w:sz w:val="24"/>
          <w:szCs w:val="24"/>
        </w:rPr>
        <w:t xml:space="preserve"> was measured through high-performance liquid chromatography (HPLC). HeLa cells treated with 33uM </w:t>
      </w:r>
      <w:proofErr w:type="spellStart"/>
      <w:r w:rsidRPr="0034209D">
        <w:rPr>
          <w:rFonts w:ascii="Times New Roman" w:eastAsia="Times New Roman" w:hAnsi="Times New Roman" w:cs="Times New Roman"/>
          <w:color w:val="000000"/>
          <w:sz w:val="24"/>
          <w:szCs w:val="24"/>
        </w:rPr>
        <w:t>VdU</w:t>
      </w:r>
      <w:proofErr w:type="spellEnd"/>
      <w:r w:rsidRPr="0034209D">
        <w:rPr>
          <w:rFonts w:ascii="Times New Roman" w:eastAsia="Times New Roman" w:hAnsi="Times New Roman" w:cs="Times New Roman"/>
          <w:color w:val="000000"/>
          <w:sz w:val="24"/>
          <w:szCs w:val="24"/>
        </w:rPr>
        <w:t xml:space="preserve"> were filtered through </w:t>
      </w:r>
      <w:proofErr w:type="spellStart"/>
      <w:r w:rsidRPr="0034209D">
        <w:rPr>
          <w:rFonts w:ascii="Times New Roman" w:eastAsia="Times New Roman" w:hAnsi="Times New Roman" w:cs="Times New Roman"/>
          <w:color w:val="000000"/>
          <w:sz w:val="24"/>
          <w:szCs w:val="24"/>
        </w:rPr>
        <w:t>Amicon</w:t>
      </w:r>
      <w:proofErr w:type="spellEnd"/>
      <w:r w:rsidRPr="0034209D">
        <w:rPr>
          <w:rFonts w:ascii="Times New Roman" w:eastAsia="Times New Roman" w:hAnsi="Times New Roman" w:cs="Times New Roman"/>
          <w:color w:val="000000"/>
          <w:sz w:val="24"/>
          <w:szCs w:val="24"/>
        </w:rPr>
        <w:t xml:space="preserve"> filters </w:t>
      </w:r>
      <w:proofErr w:type="gramStart"/>
      <w:r w:rsidRPr="0034209D">
        <w:rPr>
          <w:rFonts w:ascii="Times New Roman" w:eastAsia="Times New Roman" w:hAnsi="Times New Roman" w:cs="Times New Roman"/>
          <w:color w:val="000000"/>
          <w:sz w:val="24"/>
          <w:szCs w:val="24"/>
        </w:rPr>
        <w:t>in order to</w:t>
      </w:r>
      <w:proofErr w:type="gramEnd"/>
      <w:r w:rsidRPr="0034209D">
        <w:rPr>
          <w:rFonts w:ascii="Times New Roman" w:eastAsia="Times New Roman" w:hAnsi="Times New Roman" w:cs="Times New Roman"/>
          <w:color w:val="000000"/>
          <w:sz w:val="24"/>
          <w:szCs w:val="24"/>
        </w:rPr>
        <w:t xml:space="preserve"> remove ribonucleotides and other contaminants from DNA samples. Approximately 30 ug of  </w:t>
      </w:r>
    </w:p>
    <w:p w14:paraId="205856D2" w14:textId="5187338C"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 xml:space="preserve">purified DNA samples were digested with snake venom enzyme and incubated overnight at 37 C. Samples were then filtered again through </w:t>
      </w:r>
      <w:proofErr w:type="spellStart"/>
      <w:r w:rsidRPr="0034209D">
        <w:rPr>
          <w:rFonts w:ascii="Times New Roman" w:eastAsia="Times New Roman" w:hAnsi="Times New Roman" w:cs="Times New Roman"/>
          <w:color w:val="000000"/>
          <w:sz w:val="24"/>
          <w:szCs w:val="24"/>
        </w:rPr>
        <w:t>Amicon</w:t>
      </w:r>
      <w:proofErr w:type="spellEnd"/>
      <w:r w:rsidRPr="0034209D">
        <w:rPr>
          <w:rFonts w:ascii="Times New Roman" w:eastAsia="Times New Roman" w:hAnsi="Times New Roman" w:cs="Times New Roman"/>
          <w:color w:val="000000"/>
          <w:sz w:val="24"/>
          <w:szCs w:val="24"/>
        </w:rPr>
        <w:t xml:space="preserve"> filters and speed </w:t>
      </w:r>
      <w:proofErr w:type="spellStart"/>
      <w:r w:rsidRPr="0034209D">
        <w:rPr>
          <w:rFonts w:ascii="Times New Roman" w:eastAsia="Times New Roman" w:hAnsi="Times New Roman" w:cs="Times New Roman"/>
          <w:color w:val="000000"/>
          <w:sz w:val="24"/>
          <w:szCs w:val="24"/>
        </w:rPr>
        <w:t>vac'd</w:t>
      </w:r>
      <w:proofErr w:type="spellEnd"/>
      <w:r w:rsidRPr="0034209D">
        <w:rPr>
          <w:rFonts w:ascii="Times New Roman" w:eastAsia="Times New Roman" w:hAnsi="Times New Roman" w:cs="Times New Roman"/>
          <w:color w:val="000000"/>
          <w:sz w:val="24"/>
          <w:szCs w:val="24"/>
        </w:rPr>
        <w:t xml:space="preserve"> to concentrate samples. After determining sample DNA concentration, 15 ug of purified DNA samples were prepared to be analyzed on HPLC. </w:t>
      </w:r>
      <w:proofErr w:type="spellStart"/>
      <w:r w:rsidRPr="0034209D">
        <w:rPr>
          <w:rFonts w:ascii="Times New Roman" w:eastAsia="Times New Roman" w:hAnsi="Times New Roman" w:cs="Times New Roman"/>
          <w:color w:val="000000"/>
          <w:sz w:val="24"/>
          <w:szCs w:val="24"/>
        </w:rPr>
        <w:t>VdU</w:t>
      </w:r>
      <w:proofErr w:type="spellEnd"/>
      <w:r w:rsidRPr="0034209D">
        <w:rPr>
          <w:rFonts w:ascii="Times New Roman" w:eastAsia="Times New Roman" w:hAnsi="Times New Roman" w:cs="Times New Roman"/>
          <w:color w:val="000000"/>
          <w:sz w:val="24"/>
          <w:szCs w:val="24"/>
        </w:rPr>
        <w:t xml:space="preserve"> incorporation was identified via time of elution at 23.5 minutes and </w:t>
      </w:r>
      <w:proofErr w:type="spellStart"/>
      <w:r w:rsidRPr="0034209D">
        <w:rPr>
          <w:rFonts w:ascii="Times New Roman" w:eastAsia="Times New Roman" w:hAnsi="Times New Roman" w:cs="Times New Roman"/>
          <w:color w:val="000000"/>
          <w:sz w:val="24"/>
          <w:szCs w:val="24"/>
        </w:rPr>
        <w:t>dI</w:t>
      </w:r>
      <w:proofErr w:type="spellEnd"/>
      <w:r w:rsidRPr="0034209D">
        <w:rPr>
          <w:rFonts w:ascii="Times New Roman" w:eastAsia="Times New Roman" w:hAnsi="Times New Roman" w:cs="Times New Roman"/>
          <w:color w:val="000000"/>
          <w:sz w:val="24"/>
          <w:szCs w:val="24"/>
        </w:rPr>
        <w:t xml:space="preserve"> was identified via time elution of 18 minutes. Calculation of incorporated </w:t>
      </w:r>
      <w:r w:rsidR="006D5707" w:rsidRPr="0034209D">
        <w:rPr>
          <w:rFonts w:ascii="Times New Roman" w:eastAsia="Times New Roman" w:hAnsi="Times New Roman" w:cs="Times New Roman"/>
          <w:color w:val="000000"/>
          <w:sz w:val="24"/>
          <w:szCs w:val="24"/>
        </w:rPr>
        <w:t>nucleo</w:t>
      </w:r>
      <w:r w:rsidR="006D5707">
        <w:rPr>
          <w:rFonts w:ascii="Times New Roman" w:eastAsia="Times New Roman" w:hAnsi="Times New Roman" w:cs="Times New Roman"/>
          <w:color w:val="000000"/>
          <w:sz w:val="24"/>
          <w:szCs w:val="24"/>
        </w:rPr>
        <w:t xml:space="preserve">side </w:t>
      </w:r>
      <w:r w:rsidRPr="0034209D">
        <w:rPr>
          <w:rFonts w:ascii="Times New Roman" w:eastAsia="Times New Roman" w:hAnsi="Times New Roman" w:cs="Times New Roman"/>
          <w:color w:val="000000"/>
          <w:sz w:val="24"/>
          <w:szCs w:val="24"/>
        </w:rPr>
        <w:t>was determined through comparison to other naturally occurring nucleosides</w:t>
      </w:r>
      <w:r w:rsidR="00BF0EBC">
        <w:rPr>
          <w:rFonts w:ascii="Times New Roman" w:eastAsia="Times New Roman" w:hAnsi="Times New Roman" w:cs="Times New Roman"/>
          <w:color w:val="000000"/>
          <w:sz w:val="24"/>
          <w:szCs w:val="24"/>
        </w:rPr>
        <w:t xml:space="preserve">. </w:t>
      </w:r>
    </w:p>
    <w:p w14:paraId="56AD1728" w14:textId="77777777" w:rsidR="002F573D" w:rsidRDefault="002F573D" w:rsidP="002F573D">
      <w:pPr>
        <w:pStyle w:val="Heading2"/>
        <w:spacing w:line="276" w:lineRule="auto"/>
        <w:rPr>
          <w:color w:val="4472C4" w:themeColor="accent1"/>
        </w:rPr>
      </w:pPr>
      <w:bookmarkStart w:id="44" w:name="_Toc101972230"/>
    </w:p>
    <w:p w14:paraId="3CFF9F88" w14:textId="77777777" w:rsidR="002F573D" w:rsidRDefault="002F573D" w:rsidP="002F573D">
      <w:pPr>
        <w:pStyle w:val="Heading2"/>
        <w:spacing w:line="276" w:lineRule="auto"/>
        <w:rPr>
          <w:color w:val="4472C4" w:themeColor="accent1"/>
        </w:rPr>
      </w:pPr>
    </w:p>
    <w:p w14:paraId="209A643D" w14:textId="77777777" w:rsidR="002F573D" w:rsidRDefault="002F573D" w:rsidP="002F573D">
      <w:pPr>
        <w:pStyle w:val="Heading2"/>
        <w:spacing w:line="276" w:lineRule="auto"/>
        <w:rPr>
          <w:color w:val="4472C4" w:themeColor="accent1"/>
        </w:rPr>
      </w:pPr>
    </w:p>
    <w:p w14:paraId="78077899" w14:textId="3597EE36" w:rsidR="0034209D" w:rsidRPr="0074193B" w:rsidRDefault="0034209D" w:rsidP="002F573D">
      <w:pPr>
        <w:pStyle w:val="Heading2"/>
        <w:spacing w:line="276" w:lineRule="auto"/>
        <w:rPr>
          <w:color w:val="4472C4" w:themeColor="accent1"/>
        </w:rPr>
      </w:pPr>
      <w:bookmarkStart w:id="45" w:name="_Toc102048560"/>
      <w:r w:rsidRPr="0074193B">
        <w:rPr>
          <w:color w:val="4472C4" w:themeColor="accent1"/>
        </w:rPr>
        <w:lastRenderedPageBreak/>
        <w:t xml:space="preserve">Conjugating Dyes onto </w:t>
      </w:r>
      <w:proofErr w:type="spellStart"/>
      <w:r w:rsidRPr="0074193B">
        <w:rPr>
          <w:color w:val="4472C4" w:themeColor="accent1"/>
        </w:rPr>
        <w:t>VdU</w:t>
      </w:r>
      <w:bookmarkEnd w:id="44"/>
      <w:bookmarkEnd w:id="45"/>
      <w:proofErr w:type="spellEnd"/>
      <w:r w:rsidRPr="0074193B">
        <w:rPr>
          <w:color w:val="4472C4" w:themeColor="accent1"/>
        </w:rPr>
        <w:t> </w:t>
      </w:r>
    </w:p>
    <w:p w14:paraId="51AA7C45" w14:textId="77777777" w:rsidR="0034209D" w:rsidRPr="00BF0EBC" w:rsidRDefault="0034209D" w:rsidP="002F573D">
      <w:pPr>
        <w:pStyle w:val="Heading3"/>
        <w:spacing w:line="276" w:lineRule="auto"/>
      </w:pPr>
      <w:bookmarkStart w:id="46" w:name="_Toc102048561"/>
      <w:r w:rsidRPr="00BF0EBC">
        <w:t>Ideal Conditions for Fluorophore</w:t>
      </w:r>
      <w:bookmarkEnd w:id="46"/>
      <w:r w:rsidRPr="00BF0EBC">
        <w:t> </w:t>
      </w:r>
    </w:p>
    <w:p w14:paraId="146E321E" w14:textId="77777777" w:rsidR="0034209D" w:rsidRPr="0034209D" w:rsidRDefault="0034209D" w:rsidP="00F83B09">
      <w:pPr>
        <w:spacing w:after="0" w:line="276" w:lineRule="auto"/>
        <w:ind w:firstLine="180"/>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 xml:space="preserve">Dyes used in this experimentation have proven to be condition-dependent, with factors such as solvent conditions and pH impacting whether fluorescence can occur. Particularly, the FAM fluorophore was determined to be Ph-dependent. To ensure optimal fluorophore labeling capacity, different pH and solvent conditions were tested for impact on the fluorescent dyes when conjugated to </w:t>
      </w:r>
      <w:proofErr w:type="spellStart"/>
      <w:r w:rsidRPr="0034209D">
        <w:rPr>
          <w:rFonts w:ascii="Times New Roman" w:eastAsia="Times New Roman" w:hAnsi="Times New Roman" w:cs="Times New Roman"/>
          <w:color w:val="000000"/>
          <w:sz w:val="24"/>
          <w:szCs w:val="24"/>
        </w:rPr>
        <w:t>VdU</w:t>
      </w:r>
      <w:proofErr w:type="spellEnd"/>
      <w:r w:rsidRPr="0034209D">
        <w:rPr>
          <w:rFonts w:ascii="Times New Roman" w:eastAsia="Times New Roman" w:hAnsi="Times New Roman" w:cs="Times New Roman"/>
          <w:color w:val="000000"/>
          <w:sz w:val="24"/>
          <w:szCs w:val="24"/>
        </w:rPr>
        <w:t xml:space="preserve"> nucleosides.</w:t>
      </w:r>
    </w:p>
    <w:p w14:paraId="62857493" w14:textId="77777777" w:rsidR="0034209D" w:rsidRPr="0034209D" w:rsidRDefault="0034209D" w:rsidP="002F573D">
      <w:pPr>
        <w:spacing w:after="0" w:line="276"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4035"/>
        <w:gridCol w:w="3204"/>
        <w:gridCol w:w="2121"/>
      </w:tblGrid>
      <w:tr w:rsidR="0034209D" w:rsidRPr="0034209D" w14:paraId="504F1542" w14:textId="77777777" w:rsidTr="0034209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616C7"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Dye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348EF0"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pH Condition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C3AF8"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Temperature</w:t>
            </w:r>
          </w:p>
        </w:tc>
      </w:tr>
      <w:tr w:rsidR="0034209D" w:rsidRPr="0034209D" w14:paraId="6470CD92" w14:textId="77777777" w:rsidTr="0034209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F64AA"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Maleimide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57F82"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98F71"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RT</w:t>
            </w:r>
          </w:p>
        </w:tc>
      </w:tr>
      <w:tr w:rsidR="0034209D" w:rsidRPr="0034209D" w14:paraId="66BCFAEB" w14:textId="77777777" w:rsidTr="0034209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B4CFA"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Maleimide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50516"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70F6E7"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RT</w:t>
            </w:r>
          </w:p>
        </w:tc>
      </w:tr>
      <w:tr w:rsidR="0034209D" w:rsidRPr="0034209D" w14:paraId="1EB3370D" w14:textId="77777777" w:rsidTr="0034209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30513"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Maleimide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6A5D5"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4C700"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RT</w:t>
            </w:r>
          </w:p>
        </w:tc>
      </w:tr>
      <w:tr w:rsidR="0034209D" w:rsidRPr="0034209D" w14:paraId="440CF24C" w14:textId="77777777" w:rsidTr="0034209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39E80" w14:textId="77346E29"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Maleimide (20uM)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F477DC"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1:1 Water to DMSO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6E0DA"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37°C</w:t>
            </w:r>
          </w:p>
        </w:tc>
      </w:tr>
      <w:tr w:rsidR="0034209D" w:rsidRPr="0034209D" w14:paraId="71D6D25B" w14:textId="77777777" w:rsidTr="0034209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8250D"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Maleimide (50uM)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23C97"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B30AB"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37°C</w:t>
            </w:r>
          </w:p>
        </w:tc>
      </w:tr>
      <w:tr w:rsidR="0034209D" w:rsidRPr="0034209D" w14:paraId="1908B332" w14:textId="77777777" w:rsidTr="0034209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0DCC7"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Tamara-Tetrazine (20uM)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2918B"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1:1 Water to DMSO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62D67"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37°C</w:t>
            </w:r>
          </w:p>
        </w:tc>
      </w:tr>
      <w:tr w:rsidR="0034209D" w:rsidRPr="0034209D" w14:paraId="7CEA55D7" w14:textId="77777777" w:rsidTr="0034209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F326B"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Tamara-Tetrazine (50uM)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E27FD"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Water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0C4CA"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37°C</w:t>
            </w:r>
          </w:p>
        </w:tc>
      </w:tr>
    </w:tbl>
    <w:p w14:paraId="44EC1EDA" w14:textId="77777777" w:rsidR="0034209D" w:rsidRPr="00BF0EBC" w:rsidRDefault="0034209D" w:rsidP="002F573D">
      <w:pPr>
        <w:pStyle w:val="Heading3"/>
        <w:spacing w:line="276" w:lineRule="auto"/>
      </w:pPr>
      <w:bookmarkStart w:id="47" w:name="_Toc102048562"/>
      <w:r w:rsidRPr="00BF0EBC">
        <w:t>Ideal Conditions for Dye Conjugation in DNA</w:t>
      </w:r>
      <w:bookmarkEnd w:id="47"/>
      <w:r w:rsidRPr="00BF0EBC">
        <w:t> </w:t>
      </w:r>
    </w:p>
    <w:p w14:paraId="316873E1" w14:textId="77777777" w:rsidR="0034209D" w:rsidRPr="0034209D" w:rsidRDefault="0034209D" w:rsidP="00F83B09">
      <w:pPr>
        <w:spacing w:after="0" w:line="276" w:lineRule="auto"/>
        <w:ind w:firstLine="180"/>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 xml:space="preserve">A stock solution of </w:t>
      </w:r>
      <w:proofErr w:type="spellStart"/>
      <w:r w:rsidRPr="0034209D">
        <w:rPr>
          <w:rFonts w:ascii="Times New Roman" w:eastAsia="Times New Roman" w:hAnsi="Times New Roman" w:cs="Times New Roman"/>
          <w:color w:val="000000"/>
          <w:sz w:val="24"/>
          <w:szCs w:val="24"/>
        </w:rPr>
        <w:t>VdU</w:t>
      </w:r>
      <w:proofErr w:type="spellEnd"/>
      <w:r w:rsidRPr="0034209D">
        <w:rPr>
          <w:rFonts w:ascii="Times New Roman" w:eastAsia="Times New Roman" w:hAnsi="Times New Roman" w:cs="Times New Roman"/>
          <w:color w:val="000000"/>
          <w:sz w:val="24"/>
          <w:szCs w:val="24"/>
        </w:rPr>
        <w:t xml:space="preserve">-labeled DNA was prepared (as seen above) and labeled with 33 </w:t>
      </w:r>
      <w:proofErr w:type="spellStart"/>
      <w:proofErr w:type="gramStart"/>
      <w:r w:rsidRPr="0034209D">
        <w:rPr>
          <w:rFonts w:ascii="Times New Roman" w:eastAsia="Times New Roman" w:hAnsi="Times New Roman" w:cs="Times New Roman"/>
          <w:color w:val="000000"/>
          <w:sz w:val="24"/>
          <w:szCs w:val="24"/>
        </w:rPr>
        <w:t>uM</w:t>
      </w:r>
      <w:proofErr w:type="spellEnd"/>
      <w:proofErr w:type="gramEnd"/>
      <w:r w:rsidRPr="0034209D">
        <w:rPr>
          <w:rFonts w:ascii="Times New Roman" w:eastAsia="Times New Roman" w:hAnsi="Times New Roman" w:cs="Times New Roman"/>
          <w:color w:val="000000"/>
          <w:sz w:val="24"/>
          <w:szCs w:val="24"/>
        </w:rPr>
        <w:t xml:space="preserve"> of </w:t>
      </w:r>
      <w:proofErr w:type="spellStart"/>
      <w:r w:rsidRPr="0034209D">
        <w:rPr>
          <w:rFonts w:ascii="Times New Roman" w:eastAsia="Times New Roman" w:hAnsi="Times New Roman" w:cs="Times New Roman"/>
          <w:color w:val="000000"/>
          <w:sz w:val="24"/>
          <w:szCs w:val="24"/>
        </w:rPr>
        <w:t>VdU</w:t>
      </w:r>
      <w:proofErr w:type="spellEnd"/>
      <w:r w:rsidRPr="0034209D">
        <w:rPr>
          <w:rFonts w:ascii="Times New Roman" w:eastAsia="Times New Roman" w:hAnsi="Times New Roman" w:cs="Times New Roman"/>
          <w:color w:val="000000"/>
          <w:sz w:val="24"/>
          <w:szCs w:val="24"/>
        </w:rPr>
        <w:t>. Purified DNA was treated with the following conditions overnight based on the results found in the table above.</w:t>
      </w:r>
    </w:p>
    <w:p w14:paraId="0F323AAF" w14:textId="77777777" w:rsidR="0034209D" w:rsidRPr="0034209D" w:rsidRDefault="0034209D" w:rsidP="002F573D">
      <w:pPr>
        <w:spacing w:after="0" w:line="276"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3536"/>
        <w:gridCol w:w="3886"/>
        <w:gridCol w:w="1938"/>
      </w:tblGrid>
      <w:tr w:rsidR="0034209D" w:rsidRPr="0034209D" w14:paraId="31E27F4C" w14:textId="77777777" w:rsidTr="0034209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20B0B"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Dye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E52B5"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Condition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79596"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Temperature </w:t>
            </w:r>
          </w:p>
        </w:tc>
      </w:tr>
      <w:tr w:rsidR="0034209D" w:rsidRPr="0034209D" w14:paraId="361B302B" w14:textId="77777777" w:rsidTr="0034209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3A5E59"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Tamara-Tetrazine (20uM)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27112"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DNA in water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8993B"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35°C</w:t>
            </w:r>
          </w:p>
        </w:tc>
      </w:tr>
      <w:tr w:rsidR="0034209D" w:rsidRPr="0034209D" w14:paraId="1E46A9FF" w14:textId="77777777" w:rsidTr="0034209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3C341"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Tamara-Tetrazine (20uM)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66217"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DNA in 1:1 Water to DMF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DDF27"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35°C</w:t>
            </w:r>
          </w:p>
        </w:tc>
      </w:tr>
      <w:tr w:rsidR="0034209D" w:rsidRPr="0034209D" w14:paraId="4DC63816" w14:textId="77777777" w:rsidTr="0034209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45269"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Tamara-Tetrazine (20uM)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0A5785"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DNA in water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C46D6"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75°C</w:t>
            </w:r>
          </w:p>
        </w:tc>
      </w:tr>
      <w:tr w:rsidR="0034209D" w:rsidRPr="0034209D" w14:paraId="4F965667" w14:textId="77777777" w:rsidTr="0034209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2949C"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Tamara-Tetrazine (20uM)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BFEBD"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DNA in 1:1 Water to DMF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858DF"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75°C</w:t>
            </w:r>
          </w:p>
        </w:tc>
      </w:tr>
      <w:tr w:rsidR="0034209D" w:rsidRPr="0034209D" w14:paraId="58F69380" w14:textId="77777777" w:rsidTr="0034209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D7CC4"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lastRenderedPageBreak/>
              <w:t>Tamara-Tetrazine (20uM)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852C1"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DNA in water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B9101"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RT</w:t>
            </w:r>
          </w:p>
        </w:tc>
      </w:tr>
      <w:tr w:rsidR="0034209D" w:rsidRPr="0034209D" w14:paraId="40671296" w14:textId="77777777" w:rsidTr="0034209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581ED"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Tamara-Tetrazine (20uM)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60E34"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DNA in 1:1 Water to DMF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BC812"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RT</w:t>
            </w:r>
          </w:p>
        </w:tc>
      </w:tr>
      <w:tr w:rsidR="0034209D" w:rsidRPr="0034209D" w14:paraId="61EDAD78" w14:textId="77777777" w:rsidTr="0034209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0D93C"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 xml:space="preserve">Maleimide (20 </w:t>
            </w:r>
            <w:proofErr w:type="spellStart"/>
            <w:r w:rsidRPr="0034209D">
              <w:rPr>
                <w:rFonts w:ascii="Times New Roman" w:eastAsia="Times New Roman" w:hAnsi="Times New Roman" w:cs="Times New Roman"/>
                <w:color w:val="000000"/>
                <w:sz w:val="24"/>
                <w:szCs w:val="24"/>
              </w:rPr>
              <w:t>uM</w:t>
            </w:r>
            <w:proofErr w:type="spellEnd"/>
            <w:r w:rsidRPr="0034209D">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ABD58"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DNA in water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EBE0D"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35°C</w:t>
            </w:r>
          </w:p>
        </w:tc>
      </w:tr>
      <w:tr w:rsidR="0034209D" w:rsidRPr="0034209D" w14:paraId="0C3A766D" w14:textId="77777777" w:rsidTr="0034209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4CFFF"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 xml:space="preserve">Maleimide (20 </w:t>
            </w:r>
            <w:proofErr w:type="spellStart"/>
            <w:r w:rsidRPr="0034209D">
              <w:rPr>
                <w:rFonts w:ascii="Times New Roman" w:eastAsia="Times New Roman" w:hAnsi="Times New Roman" w:cs="Times New Roman"/>
                <w:color w:val="000000"/>
                <w:sz w:val="24"/>
                <w:szCs w:val="24"/>
              </w:rPr>
              <w:t>uM</w:t>
            </w:r>
            <w:proofErr w:type="spellEnd"/>
            <w:r w:rsidRPr="0034209D">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C700E"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DNA in 1:1 Water to DMF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3C431"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35°C</w:t>
            </w:r>
          </w:p>
        </w:tc>
      </w:tr>
      <w:tr w:rsidR="0034209D" w:rsidRPr="0034209D" w14:paraId="516F0872" w14:textId="77777777" w:rsidTr="0034209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DF95B"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 xml:space="preserve">Maleimide (20 </w:t>
            </w:r>
            <w:proofErr w:type="spellStart"/>
            <w:r w:rsidRPr="0034209D">
              <w:rPr>
                <w:rFonts w:ascii="Times New Roman" w:eastAsia="Times New Roman" w:hAnsi="Times New Roman" w:cs="Times New Roman"/>
                <w:color w:val="000000"/>
                <w:sz w:val="24"/>
                <w:szCs w:val="24"/>
              </w:rPr>
              <w:t>uM</w:t>
            </w:r>
            <w:proofErr w:type="spellEnd"/>
            <w:r w:rsidRPr="0034209D">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3F606"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DNA in water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1EF1C"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75°C</w:t>
            </w:r>
          </w:p>
        </w:tc>
      </w:tr>
      <w:tr w:rsidR="0034209D" w:rsidRPr="0034209D" w14:paraId="32E3D034" w14:textId="77777777" w:rsidTr="0034209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3E03F"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 xml:space="preserve">Maleimide (20 </w:t>
            </w:r>
            <w:proofErr w:type="spellStart"/>
            <w:r w:rsidRPr="0034209D">
              <w:rPr>
                <w:rFonts w:ascii="Times New Roman" w:eastAsia="Times New Roman" w:hAnsi="Times New Roman" w:cs="Times New Roman"/>
                <w:color w:val="000000"/>
                <w:sz w:val="24"/>
                <w:szCs w:val="24"/>
              </w:rPr>
              <w:t>uM</w:t>
            </w:r>
            <w:proofErr w:type="spellEnd"/>
            <w:r w:rsidRPr="0034209D">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E9AC4"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DNA in 1:1 Water to DMF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42ECA"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75°C</w:t>
            </w:r>
          </w:p>
        </w:tc>
      </w:tr>
      <w:tr w:rsidR="0034209D" w:rsidRPr="0034209D" w14:paraId="36A6F383" w14:textId="77777777" w:rsidTr="0034209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7260B"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 xml:space="preserve">Maleimide (20 </w:t>
            </w:r>
            <w:proofErr w:type="spellStart"/>
            <w:r w:rsidRPr="0034209D">
              <w:rPr>
                <w:rFonts w:ascii="Times New Roman" w:eastAsia="Times New Roman" w:hAnsi="Times New Roman" w:cs="Times New Roman"/>
                <w:color w:val="000000"/>
                <w:sz w:val="24"/>
                <w:szCs w:val="24"/>
              </w:rPr>
              <w:t>uM</w:t>
            </w:r>
            <w:proofErr w:type="spellEnd"/>
            <w:r w:rsidRPr="0034209D">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B54F4"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DNA in water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36F020"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RT</w:t>
            </w:r>
          </w:p>
        </w:tc>
      </w:tr>
      <w:tr w:rsidR="0034209D" w:rsidRPr="0034209D" w14:paraId="52BCD0D1" w14:textId="77777777" w:rsidTr="0034209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8B40B"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 xml:space="preserve">Maleimide (20 </w:t>
            </w:r>
            <w:proofErr w:type="spellStart"/>
            <w:r w:rsidRPr="0034209D">
              <w:rPr>
                <w:rFonts w:ascii="Times New Roman" w:eastAsia="Times New Roman" w:hAnsi="Times New Roman" w:cs="Times New Roman"/>
                <w:color w:val="000000"/>
                <w:sz w:val="24"/>
                <w:szCs w:val="24"/>
              </w:rPr>
              <w:t>uM</w:t>
            </w:r>
            <w:proofErr w:type="spellEnd"/>
            <w:r w:rsidRPr="0034209D">
              <w:rPr>
                <w:rFonts w:ascii="Times New Roman" w:eastAsia="Times New Roman" w:hAnsi="Times New Roman" w:cs="Times New Roman"/>
                <w:color w:val="000000"/>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FE077"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DNA in 1:1 Water to DMF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3003B"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RT</w:t>
            </w:r>
          </w:p>
        </w:tc>
      </w:tr>
      <w:tr w:rsidR="0034209D" w:rsidRPr="0034209D" w14:paraId="59F66131" w14:textId="77777777" w:rsidTr="0034209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3C5A8"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Maleimide (50uM)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28ECF"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DNA in 1:1 Water to DMSO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D4755"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37°C</w:t>
            </w:r>
          </w:p>
        </w:tc>
      </w:tr>
      <w:tr w:rsidR="0034209D" w:rsidRPr="0034209D" w14:paraId="58653A55" w14:textId="77777777" w:rsidTr="0034209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B826B"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Tetrazine (50uM)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7391B"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DNA in 1:1 Water to DMSO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6B2C7" w14:textId="77777777" w:rsidR="0034209D" w:rsidRPr="0034209D" w:rsidRDefault="0034209D" w:rsidP="002F573D">
            <w:pPr>
              <w:spacing w:after="0" w:line="276" w:lineRule="auto"/>
              <w:rPr>
                <w:rFonts w:ascii="Times New Roman" w:eastAsia="Times New Roman" w:hAnsi="Times New Roman" w:cs="Times New Roman"/>
                <w:sz w:val="24"/>
                <w:szCs w:val="24"/>
              </w:rPr>
            </w:pPr>
            <w:r w:rsidRPr="0034209D">
              <w:rPr>
                <w:rFonts w:ascii="Times New Roman" w:eastAsia="Times New Roman" w:hAnsi="Times New Roman" w:cs="Times New Roman"/>
                <w:color w:val="000000"/>
                <w:sz w:val="24"/>
                <w:szCs w:val="24"/>
              </w:rPr>
              <w:t>37°C</w:t>
            </w:r>
          </w:p>
        </w:tc>
      </w:tr>
    </w:tbl>
    <w:p w14:paraId="09E03F0B" w14:textId="77777777" w:rsidR="0034209D" w:rsidRDefault="0034209D" w:rsidP="002F573D">
      <w:pPr>
        <w:pStyle w:val="NormalWeb"/>
        <w:spacing w:before="0" w:beforeAutospacing="0" w:after="0" w:afterAutospacing="0" w:line="276" w:lineRule="auto"/>
        <w:rPr>
          <w:color w:val="000000"/>
        </w:rPr>
      </w:pPr>
      <w:r>
        <w:rPr>
          <w:color w:val="000000"/>
        </w:rPr>
        <w:t xml:space="preserve"> </w:t>
      </w:r>
    </w:p>
    <w:p w14:paraId="7ABB7389" w14:textId="337E3C9E" w:rsidR="00C70856" w:rsidRPr="00C331B8" w:rsidRDefault="00C70856" w:rsidP="002F573D">
      <w:pPr>
        <w:pStyle w:val="Heading1"/>
        <w:spacing w:line="276" w:lineRule="auto"/>
        <w:rPr>
          <w:sz w:val="40"/>
          <w:szCs w:val="40"/>
        </w:rPr>
      </w:pPr>
      <w:bookmarkStart w:id="48" w:name="_Toc101972231"/>
      <w:bookmarkStart w:id="49" w:name="_Toc102048563"/>
      <w:r w:rsidRPr="00C331B8">
        <w:rPr>
          <w:sz w:val="40"/>
          <w:szCs w:val="40"/>
        </w:rPr>
        <w:t>Results</w:t>
      </w:r>
      <w:bookmarkEnd w:id="48"/>
      <w:bookmarkEnd w:id="49"/>
    </w:p>
    <w:p w14:paraId="1E5805F0" w14:textId="77777777" w:rsidR="00977F40" w:rsidRPr="00BF0EBC" w:rsidRDefault="00C70856" w:rsidP="00F83B09">
      <w:pPr>
        <w:spacing w:after="0" w:line="276" w:lineRule="auto"/>
        <w:ind w:firstLine="180"/>
        <w:rPr>
          <w:rFonts w:ascii="Times New Roman" w:eastAsia="Times New Roman" w:hAnsi="Times New Roman" w:cs="Times New Roman"/>
          <w:color w:val="000000"/>
          <w:sz w:val="24"/>
          <w:szCs w:val="24"/>
        </w:rPr>
      </w:pPr>
      <w:r w:rsidRPr="00BF0EBC">
        <w:rPr>
          <w:rFonts w:ascii="Times New Roman" w:eastAsia="Times New Roman" w:hAnsi="Times New Roman" w:cs="Times New Roman"/>
          <w:color w:val="000000"/>
          <w:sz w:val="24"/>
          <w:szCs w:val="24"/>
        </w:rPr>
        <w:t xml:space="preserve">The main objective of this research was to determine compatible nucleoside analogs for double-stranded DNA so that it can be compatible with double-stranded DNA. In the initial yeast assays, </w:t>
      </w:r>
      <w:r w:rsidRPr="00C70856">
        <w:rPr>
          <w:rFonts w:ascii="Times New Roman" w:eastAsia="Times New Roman" w:hAnsi="Times New Roman" w:cs="Times New Roman"/>
          <w:color w:val="000000"/>
          <w:sz w:val="24"/>
          <w:szCs w:val="24"/>
        </w:rPr>
        <w:t xml:space="preserve">it was determined that </w:t>
      </w:r>
      <w:proofErr w:type="spellStart"/>
      <w:r w:rsidRPr="00C70856">
        <w:rPr>
          <w:rFonts w:ascii="Times New Roman" w:eastAsia="Times New Roman" w:hAnsi="Times New Roman" w:cs="Times New Roman"/>
          <w:color w:val="000000"/>
          <w:sz w:val="24"/>
          <w:szCs w:val="24"/>
        </w:rPr>
        <w:t>VdU</w:t>
      </w:r>
      <w:proofErr w:type="spellEnd"/>
      <w:r w:rsidRPr="00C70856">
        <w:rPr>
          <w:rFonts w:ascii="Times New Roman" w:eastAsia="Times New Roman" w:hAnsi="Times New Roman" w:cs="Times New Roman"/>
          <w:color w:val="000000"/>
          <w:sz w:val="24"/>
          <w:szCs w:val="24"/>
        </w:rPr>
        <w:t xml:space="preserve"> was an acceptable candidate to move forward for nucleoside testing for labeling origins in DNA replication (Figure 4). This conclusion is drawn because when compared to past analogs used, </w:t>
      </w:r>
      <w:proofErr w:type="spellStart"/>
      <w:r w:rsidRPr="00C70856">
        <w:rPr>
          <w:rFonts w:ascii="Times New Roman" w:eastAsia="Times New Roman" w:hAnsi="Times New Roman" w:cs="Times New Roman"/>
          <w:color w:val="000000"/>
          <w:sz w:val="24"/>
          <w:szCs w:val="24"/>
        </w:rPr>
        <w:t>VdU</w:t>
      </w:r>
      <w:proofErr w:type="spellEnd"/>
      <w:r w:rsidRPr="00C70856">
        <w:rPr>
          <w:rFonts w:ascii="Times New Roman" w:eastAsia="Times New Roman" w:hAnsi="Times New Roman" w:cs="Times New Roman"/>
          <w:color w:val="000000"/>
          <w:sz w:val="24"/>
          <w:szCs w:val="24"/>
        </w:rPr>
        <w:t xml:space="preserve"> was determined to have a similar morphological impact and displayed equivalent or improved toxicity of cells both in acute and long-term time frames. </w:t>
      </w:r>
      <w:r w:rsidRPr="00BF0EBC">
        <w:rPr>
          <w:rFonts w:ascii="Times New Roman" w:eastAsia="Times New Roman" w:hAnsi="Times New Roman" w:cs="Times New Roman"/>
          <w:color w:val="000000"/>
          <w:sz w:val="24"/>
          <w:szCs w:val="24"/>
        </w:rPr>
        <w:t xml:space="preserve">The issue with past analogs is that they halogenated, which would cause the breakage of double-stranded DNA, however, they can be easily taken up by the cell due to their resemblance to thymidine, making them excellent reference tools. </w:t>
      </w:r>
      <w:r w:rsidRPr="00C70856">
        <w:rPr>
          <w:rFonts w:ascii="Times New Roman" w:eastAsia="Times New Roman" w:hAnsi="Times New Roman" w:cs="Times New Roman"/>
          <w:color w:val="000000"/>
          <w:sz w:val="24"/>
          <w:szCs w:val="24"/>
        </w:rPr>
        <w:t xml:space="preserve">Through acute testing (Figure 1) ranging from 0.01 </w:t>
      </w:r>
      <w:proofErr w:type="spellStart"/>
      <w:r w:rsidRPr="00C70856">
        <w:rPr>
          <w:rFonts w:ascii="Times New Roman" w:eastAsia="Times New Roman" w:hAnsi="Times New Roman" w:cs="Times New Roman"/>
          <w:color w:val="000000"/>
          <w:sz w:val="24"/>
          <w:szCs w:val="24"/>
        </w:rPr>
        <w:t>uM</w:t>
      </w:r>
      <w:proofErr w:type="spellEnd"/>
      <w:r w:rsidRPr="00C70856">
        <w:rPr>
          <w:rFonts w:ascii="Times New Roman" w:eastAsia="Times New Roman" w:hAnsi="Times New Roman" w:cs="Times New Roman"/>
          <w:color w:val="000000"/>
          <w:sz w:val="24"/>
          <w:szCs w:val="24"/>
        </w:rPr>
        <w:t xml:space="preserve"> to 3.1 </w:t>
      </w:r>
      <w:proofErr w:type="spellStart"/>
      <w:r w:rsidRPr="00C70856">
        <w:rPr>
          <w:rFonts w:ascii="Times New Roman" w:eastAsia="Times New Roman" w:hAnsi="Times New Roman" w:cs="Times New Roman"/>
          <w:color w:val="000000"/>
          <w:sz w:val="24"/>
          <w:szCs w:val="24"/>
        </w:rPr>
        <w:t>uM</w:t>
      </w:r>
      <w:proofErr w:type="spellEnd"/>
      <w:r w:rsidRPr="00C70856">
        <w:rPr>
          <w:rFonts w:ascii="Times New Roman" w:eastAsia="Times New Roman" w:hAnsi="Times New Roman" w:cs="Times New Roman"/>
          <w:color w:val="000000"/>
          <w:sz w:val="24"/>
          <w:szCs w:val="24"/>
        </w:rPr>
        <w:t xml:space="preserve">, </w:t>
      </w:r>
      <w:proofErr w:type="spellStart"/>
      <w:r w:rsidRPr="00C70856">
        <w:rPr>
          <w:rFonts w:ascii="Times New Roman" w:eastAsia="Times New Roman" w:hAnsi="Times New Roman" w:cs="Times New Roman"/>
          <w:color w:val="000000"/>
          <w:sz w:val="24"/>
          <w:szCs w:val="24"/>
        </w:rPr>
        <w:t>VdU</w:t>
      </w:r>
      <w:proofErr w:type="spellEnd"/>
      <w:r w:rsidRPr="00C70856">
        <w:rPr>
          <w:rFonts w:ascii="Times New Roman" w:eastAsia="Times New Roman" w:hAnsi="Times New Roman" w:cs="Times New Roman"/>
          <w:color w:val="000000"/>
          <w:sz w:val="24"/>
          <w:szCs w:val="24"/>
        </w:rPr>
        <w:t xml:space="preserve"> demonstrated the same or less morphological impact on the yeast cells with increased septation when compared to other nucleosides tested at the same concentrations. </w:t>
      </w:r>
      <w:r w:rsidR="000C2FE1" w:rsidRPr="00BF0EBC">
        <w:rPr>
          <w:rFonts w:ascii="Times New Roman" w:eastAsia="Times New Roman" w:hAnsi="Times New Roman" w:cs="Times New Roman"/>
          <w:color w:val="000000"/>
          <w:sz w:val="24"/>
          <w:szCs w:val="24"/>
        </w:rPr>
        <w:t xml:space="preserve">When looking at the average OD to concentration, one can notice that the </w:t>
      </w:r>
      <w:proofErr w:type="spellStart"/>
      <w:r w:rsidR="000C2FE1" w:rsidRPr="00BF0EBC">
        <w:rPr>
          <w:rFonts w:ascii="Times New Roman" w:eastAsia="Times New Roman" w:hAnsi="Times New Roman" w:cs="Times New Roman"/>
          <w:color w:val="000000"/>
          <w:sz w:val="24"/>
          <w:szCs w:val="24"/>
        </w:rPr>
        <w:t>VdU</w:t>
      </w:r>
      <w:proofErr w:type="spellEnd"/>
      <w:r w:rsidR="000C2FE1" w:rsidRPr="00BF0EBC">
        <w:rPr>
          <w:rFonts w:ascii="Times New Roman" w:eastAsia="Times New Roman" w:hAnsi="Times New Roman" w:cs="Times New Roman"/>
          <w:color w:val="000000"/>
          <w:sz w:val="24"/>
          <w:szCs w:val="24"/>
        </w:rPr>
        <w:t xml:space="preserve"> (in orange) remains somewhat linear when compared to the other analogs, which experience lowered ODs at the higher concentrations. Since </w:t>
      </w:r>
      <w:proofErr w:type="spellStart"/>
      <w:r w:rsidR="000C2FE1" w:rsidRPr="00BF0EBC">
        <w:rPr>
          <w:rFonts w:ascii="Times New Roman" w:eastAsia="Times New Roman" w:hAnsi="Times New Roman" w:cs="Times New Roman"/>
          <w:color w:val="000000"/>
          <w:sz w:val="24"/>
          <w:szCs w:val="24"/>
        </w:rPr>
        <w:t>VdU</w:t>
      </w:r>
      <w:proofErr w:type="spellEnd"/>
      <w:r w:rsidR="000C2FE1" w:rsidRPr="00BF0EBC">
        <w:rPr>
          <w:rFonts w:ascii="Times New Roman" w:eastAsia="Times New Roman" w:hAnsi="Times New Roman" w:cs="Times New Roman"/>
          <w:color w:val="000000"/>
          <w:sz w:val="24"/>
          <w:szCs w:val="24"/>
        </w:rPr>
        <w:t xml:space="preserve"> does not experience such a dramatic drop-off when it reaches higher </w:t>
      </w:r>
      <w:r w:rsidR="00977F40" w:rsidRPr="00BF0EBC">
        <w:rPr>
          <w:rFonts w:ascii="Times New Roman" w:eastAsia="Times New Roman" w:hAnsi="Times New Roman" w:cs="Times New Roman"/>
          <w:color w:val="000000"/>
          <w:sz w:val="24"/>
          <w:szCs w:val="24"/>
        </w:rPr>
        <w:t>concentrations</w:t>
      </w:r>
      <w:r w:rsidR="000C2FE1" w:rsidRPr="00BF0EBC">
        <w:rPr>
          <w:rFonts w:ascii="Times New Roman" w:eastAsia="Times New Roman" w:hAnsi="Times New Roman" w:cs="Times New Roman"/>
          <w:color w:val="000000"/>
          <w:sz w:val="24"/>
          <w:szCs w:val="24"/>
        </w:rPr>
        <w:t xml:space="preserve">, around 0.31 </w:t>
      </w:r>
      <w:proofErr w:type="spellStart"/>
      <w:r w:rsidR="000C2FE1" w:rsidRPr="00BF0EBC">
        <w:rPr>
          <w:rFonts w:ascii="Times New Roman" w:eastAsia="Times New Roman" w:hAnsi="Times New Roman" w:cs="Times New Roman"/>
          <w:color w:val="000000"/>
          <w:sz w:val="24"/>
          <w:szCs w:val="24"/>
        </w:rPr>
        <w:t>uM</w:t>
      </w:r>
      <w:proofErr w:type="spellEnd"/>
      <w:r w:rsidR="000C2FE1" w:rsidRPr="00BF0EBC">
        <w:rPr>
          <w:rFonts w:ascii="Times New Roman" w:eastAsia="Times New Roman" w:hAnsi="Times New Roman" w:cs="Times New Roman"/>
          <w:color w:val="000000"/>
          <w:sz w:val="24"/>
          <w:szCs w:val="24"/>
        </w:rPr>
        <w:t xml:space="preserve">, it indicates that the analog is not demonstrating a substantial effect on the overall growth </w:t>
      </w:r>
      <w:r w:rsidR="00977F40" w:rsidRPr="00BF0EBC">
        <w:rPr>
          <w:rFonts w:ascii="Times New Roman" w:eastAsia="Times New Roman" w:hAnsi="Times New Roman" w:cs="Times New Roman"/>
          <w:color w:val="000000"/>
          <w:sz w:val="24"/>
          <w:szCs w:val="24"/>
        </w:rPr>
        <w:t xml:space="preserve">of the yeast. </w:t>
      </w:r>
      <w:r w:rsidRPr="00C70856">
        <w:rPr>
          <w:rFonts w:ascii="Times New Roman" w:eastAsia="Times New Roman" w:hAnsi="Times New Roman" w:cs="Times New Roman"/>
          <w:color w:val="000000"/>
          <w:sz w:val="24"/>
          <w:szCs w:val="24"/>
        </w:rPr>
        <w:t xml:space="preserve">This indicated that during short-term exposure, </w:t>
      </w:r>
      <w:proofErr w:type="spellStart"/>
      <w:r w:rsidRPr="00C70856">
        <w:rPr>
          <w:rFonts w:ascii="Times New Roman" w:eastAsia="Times New Roman" w:hAnsi="Times New Roman" w:cs="Times New Roman"/>
          <w:color w:val="000000"/>
          <w:sz w:val="24"/>
          <w:szCs w:val="24"/>
        </w:rPr>
        <w:t>VdU</w:t>
      </w:r>
      <w:proofErr w:type="spellEnd"/>
      <w:r w:rsidRPr="00C70856">
        <w:rPr>
          <w:rFonts w:ascii="Times New Roman" w:eastAsia="Times New Roman" w:hAnsi="Times New Roman" w:cs="Times New Roman"/>
          <w:color w:val="000000"/>
          <w:sz w:val="24"/>
          <w:szCs w:val="24"/>
        </w:rPr>
        <w:t xml:space="preserve"> could be incorporated into the </w:t>
      </w:r>
      <w:proofErr w:type="spellStart"/>
      <w:r w:rsidRPr="00C70856">
        <w:rPr>
          <w:rFonts w:ascii="Times New Roman" w:eastAsia="Times New Roman" w:hAnsi="Times New Roman" w:cs="Times New Roman"/>
          <w:color w:val="000000"/>
          <w:sz w:val="24"/>
          <w:szCs w:val="24"/>
        </w:rPr>
        <w:t>cells</w:t>
      </w:r>
      <w:proofErr w:type="spellEnd"/>
      <w:r w:rsidRPr="00C70856">
        <w:rPr>
          <w:rFonts w:ascii="Times New Roman" w:eastAsia="Times New Roman" w:hAnsi="Times New Roman" w:cs="Times New Roman"/>
          <w:color w:val="000000"/>
          <w:sz w:val="24"/>
          <w:szCs w:val="24"/>
        </w:rPr>
        <w:t xml:space="preserve"> DNA without causing long-lasting damage to the cell's overall growth pattern. </w:t>
      </w:r>
    </w:p>
    <w:p w14:paraId="42D96C85" w14:textId="77777777" w:rsidR="00977F40" w:rsidRPr="00BF0EBC" w:rsidRDefault="00977F40" w:rsidP="002F573D">
      <w:pPr>
        <w:spacing w:after="0" w:line="276" w:lineRule="auto"/>
        <w:rPr>
          <w:rFonts w:ascii="Times New Roman" w:eastAsia="Times New Roman" w:hAnsi="Times New Roman" w:cs="Times New Roman"/>
          <w:color w:val="000000"/>
          <w:sz w:val="24"/>
          <w:szCs w:val="24"/>
        </w:rPr>
      </w:pPr>
    </w:p>
    <w:p w14:paraId="25FBADBF" w14:textId="7F616A4B" w:rsidR="00FF6819" w:rsidRPr="00BF0EBC" w:rsidRDefault="00C70856" w:rsidP="00F83B09">
      <w:pPr>
        <w:spacing w:after="0" w:line="276" w:lineRule="auto"/>
        <w:ind w:firstLine="180"/>
        <w:rPr>
          <w:rFonts w:ascii="Times New Roman" w:eastAsia="Times New Roman" w:hAnsi="Times New Roman" w:cs="Times New Roman"/>
          <w:color w:val="000000"/>
          <w:sz w:val="24"/>
          <w:szCs w:val="24"/>
        </w:rPr>
      </w:pPr>
      <w:r w:rsidRPr="00C70856">
        <w:rPr>
          <w:rFonts w:ascii="Times New Roman" w:eastAsia="Times New Roman" w:hAnsi="Times New Roman" w:cs="Times New Roman"/>
          <w:color w:val="000000"/>
          <w:sz w:val="24"/>
          <w:szCs w:val="24"/>
        </w:rPr>
        <w:lastRenderedPageBreak/>
        <w:t xml:space="preserve">This was further seen in the long-term exposure testing (Figure 2), whereas </w:t>
      </w:r>
      <w:proofErr w:type="spellStart"/>
      <w:r w:rsidRPr="00C70856">
        <w:rPr>
          <w:rFonts w:ascii="Times New Roman" w:eastAsia="Times New Roman" w:hAnsi="Times New Roman" w:cs="Times New Roman"/>
          <w:color w:val="000000"/>
          <w:sz w:val="24"/>
          <w:szCs w:val="24"/>
        </w:rPr>
        <w:t>VdU</w:t>
      </w:r>
      <w:proofErr w:type="spellEnd"/>
      <w:r w:rsidRPr="00C70856">
        <w:rPr>
          <w:rFonts w:ascii="Times New Roman" w:eastAsia="Times New Roman" w:hAnsi="Times New Roman" w:cs="Times New Roman"/>
          <w:color w:val="000000"/>
          <w:sz w:val="24"/>
          <w:szCs w:val="24"/>
        </w:rPr>
        <w:t xml:space="preserve"> demonstrated similar behavior as seen in the acute testing. </w:t>
      </w:r>
      <w:r w:rsidR="00977F40" w:rsidRPr="00BF0EBC">
        <w:rPr>
          <w:rFonts w:ascii="Times New Roman" w:eastAsia="Times New Roman" w:hAnsi="Times New Roman" w:cs="Times New Roman"/>
          <w:color w:val="000000"/>
          <w:sz w:val="24"/>
          <w:szCs w:val="24"/>
        </w:rPr>
        <w:t xml:space="preserve">Here, one can see </w:t>
      </w:r>
      <w:proofErr w:type="spellStart"/>
      <w:r w:rsidR="00977F40" w:rsidRPr="00BF0EBC">
        <w:rPr>
          <w:rFonts w:ascii="Times New Roman" w:eastAsia="Times New Roman" w:hAnsi="Times New Roman" w:cs="Times New Roman"/>
          <w:color w:val="000000"/>
          <w:sz w:val="24"/>
          <w:szCs w:val="24"/>
        </w:rPr>
        <w:t>VdU</w:t>
      </w:r>
      <w:proofErr w:type="spellEnd"/>
      <w:r w:rsidR="00977F40" w:rsidRPr="00BF0EBC">
        <w:rPr>
          <w:rFonts w:ascii="Times New Roman" w:eastAsia="Times New Roman" w:hAnsi="Times New Roman" w:cs="Times New Roman"/>
          <w:color w:val="000000"/>
          <w:sz w:val="24"/>
          <w:szCs w:val="24"/>
        </w:rPr>
        <w:t xml:space="preserve"> (in orange) compared to analogs on a scale of OD over time. Initially cells are at a </w:t>
      </w:r>
      <w:r w:rsidR="00720DA6" w:rsidRPr="00BF0EBC">
        <w:rPr>
          <w:rFonts w:ascii="Times New Roman" w:eastAsia="Times New Roman" w:hAnsi="Times New Roman" w:cs="Times New Roman"/>
          <w:color w:val="000000"/>
          <w:sz w:val="24"/>
          <w:szCs w:val="24"/>
        </w:rPr>
        <w:t xml:space="preserve">low density of 0.05 OD and treated with various concentrations of analogs. A concentration with a comparable growth rate was determined to be 33 </w:t>
      </w:r>
      <w:proofErr w:type="spellStart"/>
      <w:proofErr w:type="gramStart"/>
      <w:r w:rsidR="00720DA6" w:rsidRPr="00BF0EBC">
        <w:rPr>
          <w:rFonts w:ascii="Times New Roman" w:eastAsia="Times New Roman" w:hAnsi="Times New Roman" w:cs="Times New Roman"/>
          <w:color w:val="000000"/>
          <w:sz w:val="24"/>
          <w:szCs w:val="24"/>
        </w:rPr>
        <w:t>uM</w:t>
      </w:r>
      <w:proofErr w:type="spellEnd"/>
      <w:proofErr w:type="gramEnd"/>
      <w:r w:rsidR="00720DA6" w:rsidRPr="00BF0EBC">
        <w:rPr>
          <w:rFonts w:ascii="Times New Roman" w:eastAsia="Times New Roman" w:hAnsi="Times New Roman" w:cs="Times New Roman"/>
          <w:color w:val="000000"/>
          <w:sz w:val="24"/>
          <w:szCs w:val="24"/>
        </w:rPr>
        <w:t xml:space="preserve">, whereas one could look at linear growth rates with a plateau at the end indicating cells had become too dense. </w:t>
      </w:r>
      <w:r w:rsidR="00FF6819" w:rsidRPr="00BF0EBC">
        <w:rPr>
          <w:rFonts w:ascii="Times New Roman" w:eastAsia="Times New Roman" w:hAnsi="Times New Roman" w:cs="Times New Roman"/>
          <w:color w:val="000000"/>
          <w:sz w:val="24"/>
          <w:szCs w:val="24"/>
        </w:rPr>
        <w:t xml:space="preserve">When averaged, cells treated with </w:t>
      </w:r>
      <w:proofErr w:type="spellStart"/>
      <w:r w:rsidR="00FF6819" w:rsidRPr="00BF0EBC">
        <w:rPr>
          <w:rFonts w:ascii="Times New Roman" w:eastAsia="Times New Roman" w:hAnsi="Times New Roman" w:cs="Times New Roman"/>
          <w:color w:val="000000"/>
          <w:sz w:val="24"/>
          <w:szCs w:val="24"/>
        </w:rPr>
        <w:t>VdU</w:t>
      </w:r>
      <w:proofErr w:type="spellEnd"/>
      <w:r w:rsidR="00FF6819" w:rsidRPr="00BF0EBC">
        <w:rPr>
          <w:rFonts w:ascii="Times New Roman" w:eastAsia="Times New Roman" w:hAnsi="Times New Roman" w:cs="Times New Roman"/>
          <w:color w:val="000000"/>
          <w:sz w:val="24"/>
          <w:szCs w:val="24"/>
        </w:rPr>
        <w:t xml:space="preserve"> demonstrated to have the highest OD. Such as the acute growth curve, </w:t>
      </w:r>
      <w:proofErr w:type="spellStart"/>
      <w:r w:rsidR="00FF6819" w:rsidRPr="00BF0EBC">
        <w:rPr>
          <w:rFonts w:ascii="Times New Roman" w:eastAsia="Times New Roman" w:hAnsi="Times New Roman" w:cs="Times New Roman"/>
          <w:color w:val="000000"/>
          <w:sz w:val="24"/>
          <w:szCs w:val="24"/>
        </w:rPr>
        <w:t>VdU</w:t>
      </w:r>
      <w:proofErr w:type="spellEnd"/>
      <w:r w:rsidR="00FF6819" w:rsidRPr="00BF0EBC">
        <w:rPr>
          <w:rFonts w:ascii="Times New Roman" w:eastAsia="Times New Roman" w:hAnsi="Times New Roman" w:cs="Times New Roman"/>
          <w:color w:val="000000"/>
          <w:sz w:val="24"/>
          <w:szCs w:val="24"/>
        </w:rPr>
        <w:t xml:space="preserve"> demonstrated to have incorporation without causing serious issues to the cell’s growth patterns. Conclusions from both acute and long-term growth curves was further supported by the septation index. </w:t>
      </w:r>
      <w:r w:rsidR="00E323E3" w:rsidRPr="00BF0EBC">
        <w:rPr>
          <w:rFonts w:ascii="Times New Roman" w:eastAsia="Times New Roman" w:hAnsi="Times New Roman" w:cs="Times New Roman"/>
          <w:color w:val="000000"/>
          <w:sz w:val="24"/>
          <w:szCs w:val="24"/>
        </w:rPr>
        <w:t xml:space="preserve">After being treated with concentrations of analogs ranging from 0.01 </w:t>
      </w:r>
      <w:proofErr w:type="spellStart"/>
      <w:r w:rsidR="00E323E3" w:rsidRPr="00BF0EBC">
        <w:rPr>
          <w:rFonts w:ascii="Times New Roman" w:eastAsia="Times New Roman" w:hAnsi="Times New Roman" w:cs="Times New Roman"/>
          <w:color w:val="000000"/>
          <w:sz w:val="24"/>
          <w:szCs w:val="24"/>
        </w:rPr>
        <w:t>uM</w:t>
      </w:r>
      <w:proofErr w:type="spellEnd"/>
      <w:r w:rsidR="00E323E3" w:rsidRPr="00BF0EBC">
        <w:rPr>
          <w:rFonts w:ascii="Times New Roman" w:eastAsia="Times New Roman" w:hAnsi="Times New Roman" w:cs="Times New Roman"/>
          <w:color w:val="000000"/>
          <w:sz w:val="24"/>
          <w:szCs w:val="24"/>
        </w:rPr>
        <w:t xml:space="preserve"> to 3.1 </w:t>
      </w:r>
      <w:proofErr w:type="spellStart"/>
      <w:r w:rsidR="00E323E3" w:rsidRPr="00BF0EBC">
        <w:rPr>
          <w:rFonts w:ascii="Times New Roman" w:eastAsia="Times New Roman" w:hAnsi="Times New Roman" w:cs="Times New Roman"/>
          <w:color w:val="000000"/>
          <w:sz w:val="24"/>
          <w:szCs w:val="24"/>
        </w:rPr>
        <w:t>uM</w:t>
      </w:r>
      <w:proofErr w:type="spellEnd"/>
      <w:r w:rsidR="00E323E3" w:rsidRPr="00BF0EBC">
        <w:rPr>
          <w:rFonts w:ascii="Times New Roman" w:eastAsia="Times New Roman" w:hAnsi="Times New Roman" w:cs="Times New Roman"/>
          <w:color w:val="000000"/>
          <w:sz w:val="24"/>
          <w:szCs w:val="24"/>
        </w:rPr>
        <w:t xml:space="preserve">, </w:t>
      </w:r>
      <w:proofErr w:type="spellStart"/>
      <w:r w:rsidR="00E323E3" w:rsidRPr="00BF0EBC">
        <w:rPr>
          <w:rFonts w:ascii="Times New Roman" w:eastAsia="Times New Roman" w:hAnsi="Times New Roman" w:cs="Times New Roman"/>
          <w:color w:val="000000"/>
          <w:sz w:val="24"/>
          <w:szCs w:val="24"/>
        </w:rPr>
        <w:t>VdU</w:t>
      </w:r>
      <w:proofErr w:type="spellEnd"/>
      <w:r w:rsidR="00E323E3" w:rsidRPr="00BF0EBC">
        <w:rPr>
          <w:rFonts w:ascii="Times New Roman" w:eastAsia="Times New Roman" w:hAnsi="Times New Roman" w:cs="Times New Roman"/>
          <w:color w:val="000000"/>
          <w:sz w:val="24"/>
          <w:szCs w:val="24"/>
        </w:rPr>
        <w:t xml:space="preserve"> exhibited the least amount of effect on the morphology of the yeast cells. This was demonstrated by cells exhibiting normal septation, but also not demonstrating extreme scarring on split cells. Based on the data demonstrated in the yeast studies, t</w:t>
      </w:r>
      <w:r w:rsidRPr="00C70856">
        <w:rPr>
          <w:rFonts w:ascii="Times New Roman" w:eastAsia="Times New Roman" w:hAnsi="Times New Roman" w:cs="Times New Roman"/>
          <w:color w:val="000000"/>
          <w:sz w:val="24"/>
          <w:szCs w:val="24"/>
        </w:rPr>
        <w:t xml:space="preserve">he best growth rate seen in </w:t>
      </w:r>
      <w:proofErr w:type="spellStart"/>
      <w:r w:rsidRPr="00C70856">
        <w:rPr>
          <w:rFonts w:ascii="Times New Roman" w:eastAsia="Times New Roman" w:hAnsi="Times New Roman" w:cs="Times New Roman"/>
          <w:color w:val="000000"/>
          <w:sz w:val="24"/>
          <w:szCs w:val="24"/>
        </w:rPr>
        <w:t>VdU</w:t>
      </w:r>
      <w:proofErr w:type="spellEnd"/>
      <w:r w:rsidRPr="00C70856">
        <w:rPr>
          <w:rFonts w:ascii="Times New Roman" w:eastAsia="Times New Roman" w:hAnsi="Times New Roman" w:cs="Times New Roman"/>
          <w:color w:val="000000"/>
          <w:sz w:val="24"/>
          <w:szCs w:val="24"/>
        </w:rPr>
        <w:t xml:space="preserve"> was determined to be 33 </w:t>
      </w:r>
      <w:proofErr w:type="spellStart"/>
      <w:proofErr w:type="gramStart"/>
      <w:r w:rsidRPr="00C70856">
        <w:rPr>
          <w:rFonts w:ascii="Times New Roman" w:eastAsia="Times New Roman" w:hAnsi="Times New Roman" w:cs="Times New Roman"/>
          <w:color w:val="000000"/>
          <w:sz w:val="24"/>
          <w:szCs w:val="24"/>
        </w:rPr>
        <w:t>uM</w:t>
      </w:r>
      <w:proofErr w:type="spellEnd"/>
      <w:proofErr w:type="gramEnd"/>
      <w:r w:rsidRPr="00C70856">
        <w:rPr>
          <w:rFonts w:ascii="Times New Roman" w:eastAsia="Times New Roman" w:hAnsi="Times New Roman" w:cs="Times New Roman"/>
          <w:color w:val="000000"/>
          <w:sz w:val="24"/>
          <w:szCs w:val="24"/>
        </w:rPr>
        <w:t xml:space="preserve">, since in this concentration some morphology change was noticed, indicating incorporation, however, did not produce the toxic effect seen in the 100 </w:t>
      </w:r>
      <w:proofErr w:type="spellStart"/>
      <w:r w:rsidRPr="00C70856">
        <w:rPr>
          <w:rFonts w:ascii="Times New Roman" w:eastAsia="Times New Roman" w:hAnsi="Times New Roman" w:cs="Times New Roman"/>
          <w:color w:val="000000"/>
          <w:sz w:val="24"/>
          <w:szCs w:val="24"/>
        </w:rPr>
        <w:t>uM</w:t>
      </w:r>
      <w:proofErr w:type="spellEnd"/>
      <w:r w:rsidRPr="00C70856">
        <w:rPr>
          <w:rFonts w:ascii="Times New Roman" w:eastAsia="Times New Roman" w:hAnsi="Times New Roman" w:cs="Times New Roman"/>
          <w:color w:val="000000"/>
          <w:sz w:val="24"/>
          <w:szCs w:val="24"/>
        </w:rPr>
        <w:t xml:space="preserve"> samples (Figure 3). </w:t>
      </w:r>
    </w:p>
    <w:p w14:paraId="550BB145" w14:textId="77777777" w:rsidR="00FF6819" w:rsidRPr="00BF0EBC" w:rsidRDefault="00FF6819" w:rsidP="002F573D">
      <w:pPr>
        <w:spacing w:after="0" w:line="276" w:lineRule="auto"/>
        <w:rPr>
          <w:rFonts w:ascii="Times New Roman" w:eastAsia="Times New Roman" w:hAnsi="Times New Roman" w:cs="Times New Roman"/>
          <w:color w:val="000000"/>
          <w:sz w:val="24"/>
          <w:szCs w:val="24"/>
        </w:rPr>
      </w:pPr>
    </w:p>
    <w:p w14:paraId="1EAC5E25" w14:textId="1E29F861" w:rsidR="00E323E3" w:rsidRDefault="00E323E3" w:rsidP="00F83B09">
      <w:pPr>
        <w:spacing w:after="0" w:line="276" w:lineRule="auto"/>
        <w:ind w:firstLine="180"/>
        <w:rPr>
          <w:rFonts w:ascii="Times New Roman" w:eastAsia="Times New Roman" w:hAnsi="Times New Roman" w:cs="Times New Roman"/>
          <w:color w:val="000000"/>
          <w:sz w:val="24"/>
          <w:szCs w:val="24"/>
        </w:rPr>
      </w:pPr>
      <w:r w:rsidRPr="00BF0EBC">
        <w:rPr>
          <w:rFonts w:ascii="Times New Roman" w:eastAsia="Times New Roman" w:hAnsi="Times New Roman" w:cs="Times New Roman"/>
          <w:color w:val="000000"/>
          <w:sz w:val="24"/>
          <w:szCs w:val="24"/>
        </w:rPr>
        <w:t xml:space="preserve">It should be noted that </w:t>
      </w:r>
      <w:proofErr w:type="spellStart"/>
      <w:r w:rsidRPr="00BF0EBC">
        <w:rPr>
          <w:rFonts w:ascii="Times New Roman" w:eastAsia="Times New Roman" w:hAnsi="Times New Roman" w:cs="Times New Roman"/>
          <w:color w:val="000000"/>
          <w:sz w:val="24"/>
          <w:szCs w:val="24"/>
        </w:rPr>
        <w:t>AmdU</w:t>
      </w:r>
      <w:proofErr w:type="spellEnd"/>
      <w:r w:rsidRPr="00BF0EBC">
        <w:rPr>
          <w:rFonts w:ascii="Times New Roman" w:eastAsia="Times New Roman" w:hAnsi="Times New Roman" w:cs="Times New Roman"/>
          <w:color w:val="000000"/>
          <w:sz w:val="24"/>
          <w:szCs w:val="24"/>
        </w:rPr>
        <w:t xml:space="preserve"> was also tested in tandem with the </w:t>
      </w:r>
      <w:proofErr w:type="spellStart"/>
      <w:r w:rsidRPr="00BF0EBC">
        <w:rPr>
          <w:rFonts w:ascii="Times New Roman" w:eastAsia="Times New Roman" w:hAnsi="Times New Roman" w:cs="Times New Roman"/>
          <w:color w:val="000000"/>
          <w:sz w:val="24"/>
          <w:szCs w:val="24"/>
        </w:rPr>
        <w:t>VdU</w:t>
      </w:r>
      <w:proofErr w:type="spellEnd"/>
      <w:r w:rsidRPr="00BF0EBC">
        <w:rPr>
          <w:rFonts w:ascii="Times New Roman" w:eastAsia="Times New Roman" w:hAnsi="Times New Roman" w:cs="Times New Roman"/>
          <w:color w:val="000000"/>
          <w:sz w:val="24"/>
          <w:szCs w:val="24"/>
        </w:rPr>
        <w:t xml:space="preserve">. In both long term and acute growth rates </w:t>
      </w:r>
      <w:proofErr w:type="spellStart"/>
      <w:r w:rsidR="00C70856" w:rsidRPr="00C70856">
        <w:rPr>
          <w:rFonts w:ascii="Times New Roman" w:eastAsia="Times New Roman" w:hAnsi="Times New Roman" w:cs="Times New Roman"/>
          <w:color w:val="000000"/>
          <w:sz w:val="24"/>
          <w:szCs w:val="24"/>
        </w:rPr>
        <w:t>AmdU</w:t>
      </w:r>
      <w:proofErr w:type="spellEnd"/>
      <w:r w:rsidR="00C70856" w:rsidRPr="00C70856">
        <w:rPr>
          <w:rFonts w:ascii="Times New Roman" w:eastAsia="Times New Roman" w:hAnsi="Times New Roman" w:cs="Times New Roman"/>
          <w:color w:val="000000"/>
          <w:sz w:val="24"/>
          <w:szCs w:val="24"/>
        </w:rPr>
        <w:t xml:space="preserve"> did not demonstrate any morphological change or toxicity, therefore, it was determined that </w:t>
      </w:r>
      <w:proofErr w:type="spellStart"/>
      <w:r w:rsidR="00C70856" w:rsidRPr="00C70856">
        <w:rPr>
          <w:rFonts w:ascii="Times New Roman" w:eastAsia="Times New Roman" w:hAnsi="Times New Roman" w:cs="Times New Roman"/>
          <w:color w:val="000000"/>
          <w:sz w:val="24"/>
          <w:szCs w:val="24"/>
        </w:rPr>
        <w:t>AmdU</w:t>
      </w:r>
      <w:proofErr w:type="spellEnd"/>
      <w:r w:rsidR="00C70856" w:rsidRPr="00C70856">
        <w:rPr>
          <w:rFonts w:ascii="Times New Roman" w:eastAsia="Times New Roman" w:hAnsi="Times New Roman" w:cs="Times New Roman"/>
          <w:color w:val="000000"/>
          <w:sz w:val="24"/>
          <w:szCs w:val="24"/>
        </w:rPr>
        <w:t xml:space="preserve"> was not being </w:t>
      </w:r>
      <w:proofErr w:type="spellStart"/>
      <w:r w:rsidR="00C70856" w:rsidRPr="00C70856">
        <w:rPr>
          <w:rFonts w:ascii="Times New Roman" w:eastAsia="Times New Roman" w:hAnsi="Times New Roman" w:cs="Times New Roman"/>
          <w:color w:val="000000"/>
          <w:sz w:val="24"/>
          <w:szCs w:val="24"/>
        </w:rPr>
        <w:t>uptaken</w:t>
      </w:r>
      <w:proofErr w:type="spellEnd"/>
      <w:r w:rsidR="00C70856" w:rsidRPr="00C70856">
        <w:rPr>
          <w:rFonts w:ascii="Times New Roman" w:eastAsia="Times New Roman" w:hAnsi="Times New Roman" w:cs="Times New Roman"/>
          <w:color w:val="000000"/>
          <w:sz w:val="24"/>
          <w:szCs w:val="24"/>
        </w:rPr>
        <w:t xml:space="preserve"> by the cells.</w:t>
      </w:r>
      <w:r w:rsidRPr="00BF0EBC">
        <w:rPr>
          <w:rFonts w:ascii="Times New Roman" w:eastAsia="Times New Roman" w:hAnsi="Times New Roman" w:cs="Times New Roman"/>
          <w:color w:val="000000"/>
          <w:sz w:val="24"/>
          <w:szCs w:val="24"/>
        </w:rPr>
        <w:t xml:space="preserve"> </w:t>
      </w:r>
      <w:r w:rsidRPr="00C70856">
        <w:rPr>
          <w:rFonts w:ascii="Times New Roman" w:eastAsia="Times New Roman" w:hAnsi="Times New Roman" w:cs="Times New Roman"/>
          <w:color w:val="000000"/>
          <w:sz w:val="24"/>
          <w:szCs w:val="24"/>
        </w:rPr>
        <w:t xml:space="preserve">The exact study was then replicated in the long-term study, whereas </w:t>
      </w:r>
      <w:proofErr w:type="spellStart"/>
      <w:r w:rsidRPr="00C70856">
        <w:rPr>
          <w:rFonts w:ascii="Times New Roman" w:eastAsia="Times New Roman" w:hAnsi="Times New Roman" w:cs="Times New Roman"/>
          <w:color w:val="000000"/>
          <w:sz w:val="24"/>
          <w:szCs w:val="24"/>
        </w:rPr>
        <w:t>VdU</w:t>
      </w:r>
      <w:proofErr w:type="spellEnd"/>
      <w:r w:rsidRPr="00C70856">
        <w:rPr>
          <w:rFonts w:ascii="Times New Roman" w:eastAsia="Times New Roman" w:hAnsi="Times New Roman" w:cs="Times New Roman"/>
          <w:color w:val="000000"/>
          <w:sz w:val="24"/>
          <w:szCs w:val="24"/>
        </w:rPr>
        <w:t xml:space="preserve"> at 33uM was demonstrated to have the least impact on cellular growth rate and </w:t>
      </w:r>
      <w:proofErr w:type="spellStart"/>
      <w:r w:rsidRPr="00C70856">
        <w:rPr>
          <w:rFonts w:ascii="Times New Roman" w:eastAsia="Times New Roman" w:hAnsi="Times New Roman" w:cs="Times New Roman"/>
          <w:color w:val="000000"/>
          <w:sz w:val="24"/>
          <w:szCs w:val="24"/>
        </w:rPr>
        <w:t>AmdU</w:t>
      </w:r>
      <w:proofErr w:type="spellEnd"/>
      <w:r w:rsidRPr="00C70856">
        <w:rPr>
          <w:rFonts w:ascii="Times New Roman" w:eastAsia="Times New Roman" w:hAnsi="Times New Roman" w:cs="Times New Roman"/>
          <w:color w:val="000000"/>
          <w:sz w:val="24"/>
          <w:szCs w:val="24"/>
        </w:rPr>
        <w:t xml:space="preserve"> showed no sign of being </w:t>
      </w:r>
      <w:proofErr w:type="spellStart"/>
      <w:r w:rsidRPr="00C70856">
        <w:rPr>
          <w:rFonts w:ascii="Times New Roman" w:eastAsia="Times New Roman" w:hAnsi="Times New Roman" w:cs="Times New Roman"/>
          <w:color w:val="000000"/>
          <w:sz w:val="24"/>
          <w:szCs w:val="24"/>
        </w:rPr>
        <w:t>uptaken</w:t>
      </w:r>
      <w:proofErr w:type="spellEnd"/>
      <w:r w:rsidRPr="00C70856">
        <w:rPr>
          <w:rFonts w:ascii="Times New Roman" w:eastAsia="Times New Roman" w:hAnsi="Times New Roman" w:cs="Times New Roman"/>
          <w:color w:val="000000"/>
          <w:sz w:val="24"/>
          <w:szCs w:val="24"/>
        </w:rPr>
        <w:t xml:space="preserve"> by the cells. </w:t>
      </w:r>
      <w:r w:rsidRPr="00BF0EBC">
        <w:rPr>
          <w:rFonts w:ascii="Times New Roman" w:eastAsia="Times New Roman" w:hAnsi="Times New Roman" w:cs="Times New Roman"/>
          <w:color w:val="000000"/>
          <w:sz w:val="24"/>
          <w:szCs w:val="24"/>
        </w:rPr>
        <w:t xml:space="preserve">Further literature studies demonstrated that </w:t>
      </w:r>
      <w:proofErr w:type="spellStart"/>
      <w:r w:rsidRPr="00BF0EBC">
        <w:rPr>
          <w:rFonts w:ascii="Times New Roman" w:eastAsia="Times New Roman" w:hAnsi="Times New Roman" w:cs="Times New Roman"/>
          <w:color w:val="000000"/>
          <w:sz w:val="24"/>
          <w:szCs w:val="24"/>
        </w:rPr>
        <w:t>AmdU</w:t>
      </w:r>
      <w:proofErr w:type="spellEnd"/>
      <w:r w:rsidRPr="00BF0EBC">
        <w:rPr>
          <w:rFonts w:ascii="Times New Roman" w:eastAsia="Times New Roman" w:hAnsi="Times New Roman" w:cs="Times New Roman"/>
          <w:color w:val="000000"/>
          <w:sz w:val="24"/>
          <w:szCs w:val="24"/>
        </w:rPr>
        <w:t xml:space="preserve"> was not compatible with this workflow, eliminating it as a potential analog</w:t>
      </w:r>
      <w:r w:rsidR="00030C05" w:rsidRPr="00BF0EBC">
        <w:rPr>
          <w:rFonts w:ascii="Times New Roman" w:eastAsia="Times New Roman" w:hAnsi="Times New Roman" w:cs="Times New Roman"/>
          <w:color w:val="000000"/>
          <w:sz w:val="24"/>
          <w:szCs w:val="24"/>
        </w:rPr>
        <w:t xml:space="preserve">. The elimination of </w:t>
      </w:r>
      <w:proofErr w:type="spellStart"/>
      <w:r w:rsidR="00030C05" w:rsidRPr="00BF0EBC">
        <w:rPr>
          <w:rFonts w:ascii="Times New Roman" w:eastAsia="Times New Roman" w:hAnsi="Times New Roman" w:cs="Times New Roman"/>
          <w:color w:val="000000"/>
          <w:sz w:val="24"/>
          <w:szCs w:val="24"/>
        </w:rPr>
        <w:t>AmdU</w:t>
      </w:r>
      <w:proofErr w:type="spellEnd"/>
      <w:r w:rsidR="00030C05" w:rsidRPr="00BF0EBC">
        <w:rPr>
          <w:rFonts w:ascii="Times New Roman" w:eastAsia="Times New Roman" w:hAnsi="Times New Roman" w:cs="Times New Roman"/>
          <w:color w:val="000000"/>
          <w:sz w:val="24"/>
          <w:szCs w:val="24"/>
        </w:rPr>
        <w:t xml:space="preserve"> from the study caused us to look at other forms of nucleoside analogs which could be incorporated into cells. Previous studies had suggested that </w:t>
      </w:r>
      <w:proofErr w:type="spellStart"/>
      <w:r w:rsidR="00030C05" w:rsidRPr="00BF0EBC">
        <w:rPr>
          <w:rFonts w:ascii="Times New Roman" w:eastAsia="Times New Roman" w:hAnsi="Times New Roman" w:cs="Times New Roman"/>
          <w:color w:val="000000"/>
          <w:sz w:val="24"/>
          <w:szCs w:val="24"/>
        </w:rPr>
        <w:t>dI</w:t>
      </w:r>
      <w:proofErr w:type="spellEnd"/>
      <w:r w:rsidR="00030C05" w:rsidRPr="00BF0EBC">
        <w:rPr>
          <w:rFonts w:ascii="Times New Roman" w:eastAsia="Times New Roman" w:hAnsi="Times New Roman" w:cs="Times New Roman"/>
          <w:color w:val="000000"/>
          <w:sz w:val="24"/>
          <w:szCs w:val="24"/>
        </w:rPr>
        <w:t>, when treated with glycosylase specific for non-natural nucleotides, could be cut-out to form a-basic sites that could be labeled with sugar tagged with fluorescent dyes. Since these studies were done in human cells, this methodology was tested in tandem with</w:t>
      </w:r>
      <w:r w:rsidR="000530B6" w:rsidRPr="00BF0EBC">
        <w:rPr>
          <w:rFonts w:ascii="Times New Roman" w:eastAsia="Times New Roman" w:hAnsi="Times New Roman" w:cs="Times New Roman"/>
          <w:color w:val="000000"/>
          <w:sz w:val="24"/>
          <w:szCs w:val="24"/>
        </w:rPr>
        <w:t xml:space="preserve"> </w:t>
      </w:r>
      <w:proofErr w:type="spellStart"/>
      <w:r w:rsidR="000530B6" w:rsidRPr="00BF0EBC">
        <w:rPr>
          <w:rFonts w:ascii="Times New Roman" w:eastAsia="Times New Roman" w:hAnsi="Times New Roman" w:cs="Times New Roman"/>
          <w:color w:val="000000"/>
          <w:sz w:val="24"/>
          <w:szCs w:val="24"/>
        </w:rPr>
        <w:t>VdU</w:t>
      </w:r>
      <w:proofErr w:type="spellEnd"/>
      <w:r w:rsidR="000530B6" w:rsidRPr="00BF0EBC">
        <w:rPr>
          <w:rFonts w:ascii="Times New Roman" w:eastAsia="Times New Roman" w:hAnsi="Times New Roman" w:cs="Times New Roman"/>
          <w:color w:val="000000"/>
          <w:sz w:val="24"/>
          <w:szCs w:val="24"/>
        </w:rPr>
        <w:t xml:space="preserve"> in human cells.</w:t>
      </w:r>
    </w:p>
    <w:p w14:paraId="5163C118" w14:textId="77777777" w:rsidR="006D5707" w:rsidRPr="00BF0EBC" w:rsidRDefault="006D5707" w:rsidP="002F573D">
      <w:pPr>
        <w:spacing w:after="0" w:line="276" w:lineRule="auto"/>
        <w:rPr>
          <w:rFonts w:ascii="Times New Roman" w:eastAsia="Times New Roman" w:hAnsi="Times New Roman" w:cs="Times New Roman"/>
          <w:color w:val="000000"/>
          <w:sz w:val="24"/>
          <w:szCs w:val="24"/>
        </w:rPr>
      </w:pPr>
    </w:p>
    <w:p w14:paraId="7A17C41E" w14:textId="5197B306" w:rsidR="002E5CA5" w:rsidRPr="0074193B" w:rsidRDefault="00C70856" w:rsidP="002F573D">
      <w:pPr>
        <w:pStyle w:val="Heading3"/>
        <w:spacing w:line="276" w:lineRule="auto"/>
      </w:pPr>
      <w:bookmarkStart w:id="50" w:name="_Toc101972232"/>
      <w:bookmarkStart w:id="51" w:name="_Toc102048564"/>
      <w:r w:rsidRPr="0074193B">
        <w:t xml:space="preserve">Incorporation of </w:t>
      </w:r>
      <w:proofErr w:type="spellStart"/>
      <w:r w:rsidRPr="0074193B">
        <w:t>VdU</w:t>
      </w:r>
      <w:proofErr w:type="spellEnd"/>
      <w:r w:rsidRPr="0074193B">
        <w:t xml:space="preserve"> and </w:t>
      </w:r>
      <w:proofErr w:type="spellStart"/>
      <w:r w:rsidRPr="0074193B">
        <w:t>dI</w:t>
      </w:r>
      <w:proofErr w:type="spellEnd"/>
      <w:r w:rsidRPr="0074193B">
        <w:t xml:space="preserve"> into Human Cells</w:t>
      </w:r>
      <w:bookmarkEnd w:id="50"/>
      <w:bookmarkEnd w:id="51"/>
      <w:r w:rsidRPr="0074193B">
        <w:t> </w:t>
      </w:r>
    </w:p>
    <w:p w14:paraId="05D7B0F3" w14:textId="179E60DD" w:rsidR="001A097E" w:rsidRPr="00BF0EBC" w:rsidRDefault="002E5CA5" w:rsidP="00F83B09">
      <w:pPr>
        <w:spacing w:after="0" w:line="276" w:lineRule="auto"/>
        <w:ind w:firstLine="180"/>
        <w:rPr>
          <w:rFonts w:ascii="Times New Roman" w:eastAsia="Times New Roman" w:hAnsi="Times New Roman" w:cs="Times New Roman"/>
          <w:color w:val="000000"/>
          <w:sz w:val="24"/>
          <w:szCs w:val="24"/>
        </w:rPr>
      </w:pPr>
      <w:r w:rsidRPr="00BF0EBC">
        <w:rPr>
          <w:rFonts w:ascii="Times New Roman" w:eastAsia="Times New Roman" w:hAnsi="Times New Roman" w:cs="Times New Roman"/>
          <w:color w:val="000000"/>
          <w:sz w:val="24"/>
          <w:szCs w:val="24"/>
        </w:rPr>
        <w:t xml:space="preserve">Yeast cells demonstrated to be incompatible with HPLC, which is the primary methodology of quantifying </w:t>
      </w:r>
      <w:proofErr w:type="spellStart"/>
      <w:r w:rsidRPr="00BF0EBC">
        <w:rPr>
          <w:rFonts w:ascii="Times New Roman" w:eastAsia="Times New Roman" w:hAnsi="Times New Roman" w:cs="Times New Roman"/>
          <w:color w:val="000000"/>
          <w:sz w:val="24"/>
          <w:szCs w:val="24"/>
        </w:rPr>
        <w:t>VdU</w:t>
      </w:r>
      <w:proofErr w:type="spellEnd"/>
      <w:r w:rsidRPr="00BF0EBC">
        <w:rPr>
          <w:rFonts w:ascii="Times New Roman" w:eastAsia="Times New Roman" w:hAnsi="Times New Roman" w:cs="Times New Roman"/>
          <w:color w:val="000000"/>
          <w:sz w:val="24"/>
          <w:szCs w:val="24"/>
        </w:rPr>
        <w:t xml:space="preserve"> incorporation, due to extensive RNA contamination. </w:t>
      </w:r>
      <w:r w:rsidR="00DD5E7F" w:rsidRPr="00BF0EBC">
        <w:rPr>
          <w:rFonts w:ascii="Times New Roman" w:eastAsia="Times New Roman" w:hAnsi="Times New Roman" w:cs="Times New Roman"/>
          <w:color w:val="000000"/>
          <w:sz w:val="24"/>
          <w:szCs w:val="24"/>
        </w:rPr>
        <w:t xml:space="preserve">Purification of DNA had to be optimized to get rid of excess RNA contamination, which skewed the results of HPLC. Optimization was attempted in both yeast cells and human HeLa cells; however, </w:t>
      </w:r>
      <w:r w:rsidR="006E0889" w:rsidRPr="00BF0EBC">
        <w:rPr>
          <w:rFonts w:ascii="Times New Roman" w:eastAsia="Times New Roman" w:hAnsi="Times New Roman" w:cs="Times New Roman"/>
          <w:color w:val="000000"/>
          <w:sz w:val="24"/>
          <w:szCs w:val="24"/>
        </w:rPr>
        <w:t xml:space="preserve">only HeLa demonstrated decrease RNA contamination when treated with 2x standard amount of </w:t>
      </w:r>
      <w:proofErr w:type="spellStart"/>
      <w:r w:rsidR="006E0889" w:rsidRPr="00BF0EBC">
        <w:rPr>
          <w:rFonts w:ascii="Times New Roman" w:eastAsia="Times New Roman" w:hAnsi="Times New Roman" w:cs="Times New Roman"/>
          <w:color w:val="000000"/>
          <w:sz w:val="24"/>
          <w:szCs w:val="24"/>
        </w:rPr>
        <w:t>RNA</w:t>
      </w:r>
      <w:r w:rsidR="00FC4F37">
        <w:rPr>
          <w:rFonts w:ascii="Times New Roman" w:eastAsia="Times New Roman" w:hAnsi="Times New Roman" w:cs="Times New Roman"/>
          <w:color w:val="000000"/>
          <w:sz w:val="24"/>
          <w:szCs w:val="24"/>
        </w:rPr>
        <w:t>se</w:t>
      </w:r>
      <w:proofErr w:type="spellEnd"/>
      <w:r w:rsidR="006E0889" w:rsidRPr="00BF0EBC">
        <w:rPr>
          <w:rFonts w:ascii="Times New Roman" w:eastAsia="Times New Roman" w:hAnsi="Times New Roman" w:cs="Times New Roman"/>
          <w:color w:val="000000"/>
          <w:sz w:val="24"/>
          <w:szCs w:val="24"/>
        </w:rPr>
        <w:t xml:space="preserve"> and left overnight at both the </w:t>
      </w:r>
      <w:r w:rsidR="00FC4F37" w:rsidRPr="00BF0EBC">
        <w:rPr>
          <w:rFonts w:ascii="Times New Roman" w:eastAsia="Times New Roman" w:hAnsi="Times New Roman" w:cs="Times New Roman"/>
          <w:color w:val="000000"/>
          <w:sz w:val="24"/>
          <w:szCs w:val="24"/>
        </w:rPr>
        <w:t>proteinase</w:t>
      </w:r>
      <w:r w:rsidR="006E0889" w:rsidRPr="00BF0EBC">
        <w:rPr>
          <w:rFonts w:ascii="Times New Roman" w:eastAsia="Times New Roman" w:hAnsi="Times New Roman" w:cs="Times New Roman"/>
          <w:color w:val="000000"/>
          <w:sz w:val="24"/>
          <w:szCs w:val="24"/>
        </w:rPr>
        <w:t xml:space="preserve"> K and RNASE stage. </w:t>
      </w:r>
      <w:r w:rsidRPr="00BF0EBC">
        <w:rPr>
          <w:rFonts w:ascii="Times New Roman" w:eastAsia="Times New Roman" w:hAnsi="Times New Roman" w:cs="Times New Roman"/>
          <w:color w:val="000000"/>
          <w:sz w:val="24"/>
          <w:szCs w:val="24"/>
        </w:rPr>
        <w:t xml:space="preserve">Given that yeast and human models are extremely similar, we proceeded to optimize incorporation of </w:t>
      </w:r>
      <w:proofErr w:type="spellStart"/>
      <w:r w:rsidRPr="00BF0EBC">
        <w:rPr>
          <w:rFonts w:ascii="Times New Roman" w:eastAsia="Times New Roman" w:hAnsi="Times New Roman" w:cs="Times New Roman"/>
          <w:color w:val="000000"/>
          <w:sz w:val="24"/>
          <w:szCs w:val="24"/>
        </w:rPr>
        <w:t>VdU</w:t>
      </w:r>
      <w:proofErr w:type="spellEnd"/>
      <w:r w:rsidRPr="00BF0EBC">
        <w:rPr>
          <w:rFonts w:ascii="Times New Roman" w:eastAsia="Times New Roman" w:hAnsi="Times New Roman" w:cs="Times New Roman"/>
          <w:color w:val="000000"/>
          <w:sz w:val="24"/>
          <w:szCs w:val="24"/>
        </w:rPr>
        <w:t xml:space="preserve"> into HeLa cells. Such as in the yeast studies, </w:t>
      </w:r>
      <w:proofErr w:type="spellStart"/>
      <w:r w:rsidRPr="00BF0EBC">
        <w:rPr>
          <w:rFonts w:ascii="Times New Roman" w:eastAsia="Times New Roman" w:hAnsi="Times New Roman" w:cs="Times New Roman"/>
          <w:color w:val="000000"/>
          <w:sz w:val="24"/>
          <w:szCs w:val="24"/>
        </w:rPr>
        <w:t>VdU</w:t>
      </w:r>
      <w:proofErr w:type="spellEnd"/>
      <w:r w:rsidRPr="00BF0EBC">
        <w:rPr>
          <w:rFonts w:ascii="Times New Roman" w:eastAsia="Times New Roman" w:hAnsi="Times New Roman" w:cs="Times New Roman"/>
          <w:color w:val="000000"/>
          <w:sz w:val="24"/>
          <w:szCs w:val="24"/>
        </w:rPr>
        <w:t xml:space="preserve"> was determined to have an optimal concentration of 33uM, whereas there </w:t>
      </w:r>
      <w:r w:rsidR="006E0889" w:rsidRPr="00BF0EBC">
        <w:rPr>
          <w:rFonts w:ascii="Times New Roman" w:eastAsia="Times New Roman" w:hAnsi="Times New Roman" w:cs="Times New Roman"/>
          <w:color w:val="000000"/>
          <w:sz w:val="24"/>
          <w:szCs w:val="24"/>
        </w:rPr>
        <w:t>was both</w:t>
      </w:r>
      <w:r w:rsidRPr="00BF0EBC">
        <w:rPr>
          <w:rFonts w:ascii="Times New Roman" w:eastAsia="Times New Roman" w:hAnsi="Times New Roman" w:cs="Times New Roman"/>
          <w:color w:val="000000"/>
          <w:sz w:val="24"/>
          <w:szCs w:val="24"/>
        </w:rPr>
        <w:t xml:space="preserve"> </w:t>
      </w:r>
      <w:r w:rsidR="00C70856" w:rsidRPr="00C70856">
        <w:rPr>
          <w:rFonts w:ascii="Times New Roman" w:eastAsia="Times New Roman" w:hAnsi="Times New Roman" w:cs="Times New Roman"/>
          <w:color w:val="000000"/>
          <w:sz w:val="24"/>
          <w:szCs w:val="24"/>
        </w:rPr>
        <w:t xml:space="preserve">incorporation and minimum toxic effect. HeLa cells treated with 80 </w:t>
      </w:r>
      <w:proofErr w:type="spellStart"/>
      <w:r w:rsidR="00C70856" w:rsidRPr="00C70856">
        <w:rPr>
          <w:rFonts w:ascii="Times New Roman" w:eastAsia="Times New Roman" w:hAnsi="Times New Roman" w:cs="Times New Roman"/>
          <w:color w:val="000000"/>
          <w:sz w:val="24"/>
          <w:szCs w:val="24"/>
        </w:rPr>
        <w:t>uM</w:t>
      </w:r>
      <w:proofErr w:type="spellEnd"/>
      <w:r w:rsidR="00C70856" w:rsidRPr="00C70856">
        <w:rPr>
          <w:rFonts w:ascii="Times New Roman" w:eastAsia="Times New Roman" w:hAnsi="Times New Roman" w:cs="Times New Roman"/>
          <w:color w:val="000000"/>
          <w:sz w:val="24"/>
          <w:szCs w:val="24"/>
        </w:rPr>
        <w:t xml:space="preserve"> showed morphological changes and signs of toxicity when incubated overnight. </w:t>
      </w:r>
      <w:r w:rsidR="001A097E" w:rsidRPr="00BF0EBC">
        <w:rPr>
          <w:rFonts w:ascii="Times New Roman" w:eastAsia="Times New Roman" w:hAnsi="Times New Roman" w:cs="Times New Roman"/>
          <w:color w:val="000000"/>
          <w:sz w:val="24"/>
          <w:szCs w:val="24"/>
        </w:rPr>
        <w:t xml:space="preserve">Conditions below 33uM, </w:t>
      </w:r>
      <w:r w:rsidR="001A097E" w:rsidRPr="00BF0EBC">
        <w:rPr>
          <w:rFonts w:ascii="Times New Roman" w:eastAsia="Times New Roman" w:hAnsi="Times New Roman" w:cs="Times New Roman"/>
          <w:color w:val="000000"/>
          <w:sz w:val="24"/>
          <w:szCs w:val="24"/>
        </w:rPr>
        <w:lastRenderedPageBreak/>
        <w:t xml:space="preserve">such as 10uM, demonstrated some forms of conjugation, however, it was </w:t>
      </w:r>
      <w:r w:rsidR="001A097E" w:rsidRPr="00C70856">
        <w:rPr>
          <w:rFonts w:ascii="Times New Roman" w:eastAsia="Times New Roman" w:hAnsi="Times New Roman" w:cs="Times New Roman"/>
          <w:color w:val="000000"/>
          <w:sz w:val="24"/>
          <w:szCs w:val="24"/>
        </w:rPr>
        <w:t>approximately 2-3% incorporation when incubated for 24hrs</w:t>
      </w:r>
      <w:r w:rsidR="001A097E" w:rsidRPr="00BF0EBC">
        <w:rPr>
          <w:rFonts w:ascii="Times New Roman" w:eastAsia="Times New Roman" w:hAnsi="Times New Roman" w:cs="Times New Roman"/>
          <w:color w:val="000000"/>
          <w:sz w:val="24"/>
          <w:szCs w:val="24"/>
        </w:rPr>
        <w:t xml:space="preserve"> which was too low for the study. </w:t>
      </w:r>
    </w:p>
    <w:p w14:paraId="671A537E" w14:textId="77777777" w:rsidR="001A097E" w:rsidRPr="00BF0EBC" w:rsidRDefault="001A097E" w:rsidP="002F573D">
      <w:pPr>
        <w:spacing w:after="0" w:line="276" w:lineRule="auto"/>
        <w:rPr>
          <w:rFonts w:ascii="Times New Roman" w:eastAsia="Times New Roman" w:hAnsi="Times New Roman" w:cs="Times New Roman"/>
          <w:color w:val="000000"/>
          <w:sz w:val="24"/>
          <w:szCs w:val="24"/>
        </w:rPr>
      </w:pPr>
    </w:p>
    <w:p w14:paraId="446F4A6C" w14:textId="32C72CC2" w:rsidR="00C70856" w:rsidRPr="00C70856" w:rsidRDefault="00C70856" w:rsidP="00F83B09">
      <w:pPr>
        <w:spacing w:after="0" w:line="276" w:lineRule="auto"/>
        <w:ind w:firstLine="180"/>
        <w:rPr>
          <w:rFonts w:ascii="Times New Roman" w:eastAsia="Times New Roman" w:hAnsi="Times New Roman" w:cs="Times New Roman"/>
          <w:color w:val="000000"/>
          <w:sz w:val="24"/>
          <w:szCs w:val="24"/>
        </w:rPr>
      </w:pPr>
      <w:r w:rsidRPr="00C70856">
        <w:rPr>
          <w:rFonts w:ascii="Times New Roman" w:eastAsia="Times New Roman" w:hAnsi="Times New Roman" w:cs="Times New Roman"/>
          <w:color w:val="000000"/>
          <w:sz w:val="24"/>
          <w:szCs w:val="24"/>
        </w:rPr>
        <w:t xml:space="preserve">Optimal </w:t>
      </w:r>
      <w:proofErr w:type="spellStart"/>
      <w:r w:rsidRPr="00C70856">
        <w:rPr>
          <w:rFonts w:ascii="Times New Roman" w:eastAsia="Times New Roman" w:hAnsi="Times New Roman" w:cs="Times New Roman"/>
          <w:color w:val="000000"/>
          <w:sz w:val="24"/>
          <w:szCs w:val="24"/>
        </w:rPr>
        <w:t>VdU</w:t>
      </w:r>
      <w:proofErr w:type="spellEnd"/>
      <w:r w:rsidRPr="00C70856">
        <w:rPr>
          <w:rFonts w:ascii="Times New Roman" w:eastAsia="Times New Roman" w:hAnsi="Times New Roman" w:cs="Times New Roman"/>
          <w:color w:val="000000"/>
          <w:sz w:val="24"/>
          <w:szCs w:val="24"/>
        </w:rPr>
        <w:t xml:space="preserve"> incorporation was seen in HeLa cells treated with 33uM of </w:t>
      </w:r>
      <w:proofErr w:type="spellStart"/>
      <w:r w:rsidRPr="00C70856">
        <w:rPr>
          <w:rFonts w:ascii="Times New Roman" w:eastAsia="Times New Roman" w:hAnsi="Times New Roman" w:cs="Times New Roman"/>
          <w:color w:val="000000"/>
          <w:sz w:val="24"/>
          <w:szCs w:val="24"/>
        </w:rPr>
        <w:t>VdU</w:t>
      </w:r>
      <w:proofErr w:type="spellEnd"/>
      <w:r w:rsidRPr="00C70856">
        <w:rPr>
          <w:rFonts w:ascii="Times New Roman" w:eastAsia="Times New Roman" w:hAnsi="Times New Roman" w:cs="Times New Roman"/>
          <w:color w:val="000000"/>
          <w:sz w:val="24"/>
          <w:szCs w:val="24"/>
        </w:rPr>
        <w:t xml:space="preserve"> incubated for 24hrs </w:t>
      </w:r>
      <w:r w:rsidR="001A097E" w:rsidRPr="00BF0EBC">
        <w:rPr>
          <w:rFonts w:ascii="Times New Roman" w:eastAsia="Times New Roman" w:hAnsi="Times New Roman" w:cs="Times New Roman"/>
          <w:color w:val="000000"/>
          <w:sz w:val="24"/>
          <w:szCs w:val="24"/>
        </w:rPr>
        <w:t xml:space="preserve">with </w:t>
      </w:r>
      <w:r w:rsidR="001A097E" w:rsidRPr="00C70856">
        <w:rPr>
          <w:rFonts w:ascii="Times New Roman" w:eastAsia="Times New Roman" w:hAnsi="Times New Roman" w:cs="Times New Roman"/>
          <w:color w:val="000000"/>
          <w:sz w:val="24"/>
          <w:szCs w:val="24"/>
        </w:rPr>
        <w:t xml:space="preserve">incorporation of </w:t>
      </w:r>
      <w:proofErr w:type="spellStart"/>
      <w:r w:rsidR="001A097E" w:rsidRPr="00BF0EBC">
        <w:rPr>
          <w:rFonts w:ascii="Times New Roman" w:eastAsia="Times New Roman" w:hAnsi="Times New Roman" w:cs="Times New Roman"/>
          <w:color w:val="000000"/>
          <w:sz w:val="24"/>
          <w:szCs w:val="24"/>
        </w:rPr>
        <w:t>VdU</w:t>
      </w:r>
      <w:proofErr w:type="spellEnd"/>
      <w:r w:rsidR="001A097E" w:rsidRPr="00C70856">
        <w:rPr>
          <w:rFonts w:ascii="Times New Roman" w:eastAsia="Times New Roman" w:hAnsi="Times New Roman" w:cs="Times New Roman"/>
          <w:color w:val="000000"/>
          <w:sz w:val="24"/>
          <w:szCs w:val="24"/>
        </w:rPr>
        <w:t xml:space="preserve"> calculated to be 9.31%. </w:t>
      </w:r>
      <w:r w:rsidRPr="00C70856">
        <w:rPr>
          <w:rFonts w:ascii="Times New Roman" w:eastAsia="Times New Roman" w:hAnsi="Times New Roman" w:cs="Times New Roman"/>
          <w:color w:val="000000"/>
          <w:sz w:val="24"/>
          <w:szCs w:val="24"/>
        </w:rPr>
        <w:t xml:space="preserve">(Figure 5). </w:t>
      </w:r>
      <w:r w:rsidR="001A097E" w:rsidRPr="00BF0EBC">
        <w:rPr>
          <w:rFonts w:ascii="Times New Roman" w:eastAsia="Times New Roman" w:hAnsi="Times New Roman" w:cs="Times New Roman"/>
          <w:color w:val="000000"/>
          <w:sz w:val="24"/>
          <w:szCs w:val="24"/>
        </w:rPr>
        <w:t xml:space="preserve">The time </w:t>
      </w:r>
      <w:r w:rsidR="006570ED" w:rsidRPr="00BF0EBC">
        <w:rPr>
          <w:rFonts w:ascii="Times New Roman" w:eastAsia="Times New Roman" w:hAnsi="Times New Roman" w:cs="Times New Roman"/>
          <w:color w:val="000000"/>
          <w:sz w:val="24"/>
          <w:szCs w:val="24"/>
        </w:rPr>
        <w:t xml:space="preserve">of incubation proved to be an important factor, whereas </w:t>
      </w:r>
      <w:proofErr w:type="spellStart"/>
      <w:r w:rsidR="006570ED" w:rsidRPr="00BF0EBC">
        <w:rPr>
          <w:rFonts w:ascii="Times New Roman" w:eastAsia="Times New Roman" w:hAnsi="Times New Roman" w:cs="Times New Roman"/>
          <w:color w:val="000000"/>
          <w:sz w:val="24"/>
          <w:szCs w:val="24"/>
        </w:rPr>
        <w:t>VdU</w:t>
      </w:r>
      <w:proofErr w:type="spellEnd"/>
      <w:r w:rsidR="006570ED" w:rsidRPr="00BF0EBC">
        <w:rPr>
          <w:rFonts w:ascii="Times New Roman" w:eastAsia="Times New Roman" w:hAnsi="Times New Roman" w:cs="Times New Roman"/>
          <w:color w:val="000000"/>
          <w:sz w:val="24"/>
          <w:szCs w:val="24"/>
        </w:rPr>
        <w:t xml:space="preserve"> incorporation doubled in cells treated for 24hrs rather than 16hrs in the same media and temperature. If cells were allowed incubate over approximately 28-30hrs, cells would become overgrown and begin to show morphological changes from possible toxic effect</w:t>
      </w:r>
      <w:r w:rsidR="00920A4A">
        <w:rPr>
          <w:rFonts w:ascii="Times New Roman" w:eastAsia="Times New Roman" w:hAnsi="Times New Roman" w:cs="Times New Roman"/>
          <w:color w:val="000000"/>
          <w:sz w:val="24"/>
          <w:szCs w:val="24"/>
        </w:rPr>
        <w:t>s</w:t>
      </w:r>
      <w:r w:rsidR="006570ED" w:rsidRPr="00BF0EBC">
        <w:rPr>
          <w:rFonts w:ascii="Times New Roman" w:eastAsia="Times New Roman" w:hAnsi="Times New Roman" w:cs="Times New Roman"/>
          <w:color w:val="000000"/>
          <w:sz w:val="24"/>
          <w:szCs w:val="24"/>
        </w:rPr>
        <w:t xml:space="preserve">. </w:t>
      </w:r>
    </w:p>
    <w:p w14:paraId="7C86DE7B" w14:textId="77777777" w:rsidR="00C70856" w:rsidRPr="00C70856" w:rsidRDefault="00C70856" w:rsidP="002F573D">
      <w:pPr>
        <w:pStyle w:val="Heading3"/>
        <w:spacing w:line="276" w:lineRule="auto"/>
      </w:pPr>
      <w:bookmarkStart w:id="52" w:name="_Toc101972233"/>
      <w:bookmarkStart w:id="53" w:name="_Toc102048565"/>
      <w:r w:rsidRPr="00C70856">
        <w:t>Conjugation of Dyes</w:t>
      </w:r>
      <w:bookmarkEnd w:id="52"/>
      <w:bookmarkEnd w:id="53"/>
    </w:p>
    <w:p w14:paraId="7D687024" w14:textId="72D6BABF" w:rsidR="007C5CFA" w:rsidRPr="00BF0EBC" w:rsidRDefault="00DD5E7F" w:rsidP="00F83B09">
      <w:pPr>
        <w:spacing w:line="276" w:lineRule="auto"/>
        <w:ind w:firstLine="180"/>
        <w:rPr>
          <w:rFonts w:ascii="Times New Roman" w:hAnsi="Times New Roman" w:cs="Times New Roman"/>
          <w:sz w:val="24"/>
          <w:szCs w:val="24"/>
        </w:rPr>
      </w:pPr>
      <w:r w:rsidRPr="00BF0EBC">
        <w:rPr>
          <w:rFonts w:ascii="Times New Roman" w:hAnsi="Times New Roman" w:cs="Times New Roman"/>
          <w:sz w:val="24"/>
          <w:szCs w:val="24"/>
        </w:rPr>
        <w:t xml:space="preserve">Once optimal conditions for conjugation were determined, a stock solution of cells treated with 33uM of </w:t>
      </w:r>
      <w:proofErr w:type="spellStart"/>
      <w:r w:rsidRPr="00BF0EBC">
        <w:rPr>
          <w:rFonts w:ascii="Times New Roman" w:hAnsi="Times New Roman" w:cs="Times New Roman"/>
          <w:sz w:val="24"/>
          <w:szCs w:val="24"/>
        </w:rPr>
        <w:t>VdU</w:t>
      </w:r>
      <w:proofErr w:type="spellEnd"/>
      <w:r w:rsidRPr="00BF0EBC">
        <w:rPr>
          <w:rFonts w:ascii="Times New Roman" w:hAnsi="Times New Roman" w:cs="Times New Roman"/>
          <w:sz w:val="24"/>
          <w:szCs w:val="24"/>
        </w:rPr>
        <w:t xml:space="preserve"> were grown and purified</w:t>
      </w:r>
      <w:r w:rsidR="006E0889" w:rsidRPr="00BF0EBC">
        <w:rPr>
          <w:rFonts w:ascii="Times New Roman" w:hAnsi="Times New Roman" w:cs="Times New Roman"/>
          <w:sz w:val="24"/>
          <w:szCs w:val="24"/>
        </w:rPr>
        <w:t xml:space="preserve"> via the optimized DNA purification protocol determined earlier. Once the stock solution was verified to have greater than 5% incorporation of </w:t>
      </w:r>
      <w:proofErr w:type="spellStart"/>
      <w:r w:rsidR="006E0889" w:rsidRPr="00BF0EBC">
        <w:rPr>
          <w:rFonts w:ascii="Times New Roman" w:hAnsi="Times New Roman" w:cs="Times New Roman"/>
          <w:sz w:val="24"/>
          <w:szCs w:val="24"/>
        </w:rPr>
        <w:t>VdU</w:t>
      </w:r>
      <w:proofErr w:type="spellEnd"/>
      <w:r w:rsidR="006E0889" w:rsidRPr="00BF0EBC">
        <w:rPr>
          <w:rFonts w:ascii="Times New Roman" w:hAnsi="Times New Roman" w:cs="Times New Roman"/>
          <w:sz w:val="24"/>
          <w:szCs w:val="24"/>
        </w:rPr>
        <w:t>, assays were performed to determine optimal conditions to conjugate a fluorescent tag.</w:t>
      </w:r>
      <w:r w:rsidR="007C5CFA" w:rsidRPr="00BF0EBC">
        <w:rPr>
          <w:rFonts w:ascii="Times New Roman" w:hAnsi="Times New Roman" w:cs="Times New Roman"/>
          <w:sz w:val="24"/>
          <w:szCs w:val="24"/>
        </w:rPr>
        <w:t xml:space="preserve"> Additionally, conditions were tested on un-incorporated </w:t>
      </w:r>
      <w:proofErr w:type="spellStart"/>
      <w:r w:rsidR="007C5CFA" w:rsidRPr="00BF0EBC">
        <w:rPr>
          <w:rFonts w:ascii="Times New Roman" w:hAnsi="Times New Roman" w:cs="Times New Roman"/>
          <w:sz w:val="24"/>
          <w:szCs w:val="24"/>
        </w:rPr>
        <w:t>VdU</w:t>
      </w:r>
      <w:proofErr w:type="spellEnd"/>
      <w:r w:rsidR="007C5CFA" w:rsidRPr="00BF0EBC">
        <w:rPr>
          <w:rFonts w:ascii="Times New Roman" w:hAnsi="Times New Roman" w:cs="Times New Roman"/>
          <w:sz w:val="24"/>
          <w:szCs w:val="24"/>
        </w:rPr>
        <w:t xml:space="preserve"> nucleoside, to determine what conditions may be DNA dependent or not.</w:t>
      </w:r>
    </w:p>
    <w:p w14:paraId="57D6D735" w14:textId="77777777" w:rsidR="00F83B09" w:rsidRDefault="006E0889" w:rsidP="00F83B09">
      <w:pPr>
        <w:spacing w:line="276" w:lineRule="auto"/>
        <w:rPr>
          <w:rFonts w:ascii="Times New Roman" w:eastAsia="Times New Roman" w:hAnsi="Times New Roman" w:cs="Times New Roman"/>
          <w:color w:val="000000"/>
          <w:sz w:val="24"/>
          <w:szCs w:val="24"/>
        </w:rPr>
      </w:pPr>
      <w:r w:rsidRPr="00BF0EBC">
        <w:rPr>
          <w:rFonts w:ascii="Times New Roman" w:hAnsi="Times New Roman" w:cs="Times New Roman"/>
          <w:sz w:val="24"/>
          <w:szCs w:val="24"/>
        </w:rPr>
        <w:t xml:space="preserve"> </w:t>
      </w:r>
      <w:r w:rsidR="00265B41" w:rsidRPr="00BF0EBC">
        <w:rPr>
          <w:rFonts w:ascii="Times New Roman" w:hAnsi="Times New Roman" w:cs="Times New Roman"/>
          <w:sz w:val="24"/>
          <w:szCs w:val="24"/>
        </w:rPr>
        <w:t>Based on previous research studies, we determined that signs of conjugation would be</w:t>
      </w:r>
      <w:r w:rsidR="00C70856" w:rsidRPr="00C70856">
        <w:rPr>
          <w:rFonts w:ascii="Times New Roman" w:eastAsia="Times New Roman" w:hAnsi="Times New Roman" w:cs="Times New Roman"/>
          <w:color w:val="000000"/>
          <w:sz w:val="24"/>
          <w:szCs w:val="24"/>
        </w:rPr>
        <w:t xml:space="preserve"> indicated by the development of a new peak near either the original </w:t>
      </w:r>
      <w:proofErr w:type="spellStart"/>
      <w:r w:rsidR="00C70856" w:rsidRPr="00C70856">
        <w:rPr>
          <w:rFonts w:ascii="Times New Roman" w:eastAsia="Times New Roman" w:hAnsi="Times New Roman" w:cs="Times New Roman"/>
          <w:color w:val="000000"/>
          <w:sz w:val="24"/>
          <w:szCs w:val="24"/>
        </w:rPr>
        <w:t>VdU</w:t>
      </w:r>
      <w:proofErr w:type="spellEnd"/>
      <w:r w:rsidR="00C70856" w:rsidRPr="00C70856">
        <w:rPr>
          <w:rFonts w:ascii="Times New Roman" w:eastAsia="Times New Roman" w:hAnsi="Times New Roman" w:cs="Times New Roman"/>
          <w:color w:val="000000"/>
          <w:sz w:val="24"/>
          <w:szCs w:val="24"/>
        </w:rPr>
        <w:t xml:space="preserve"> or dye peak</w:t>
      </w:r>
      <w:r w:rsidR="00265B41" w:rsidRPr="00BF0EBC">
        <w:rPr>
          <w:rFonts w:ascii="Times New Roman" w:eastAsia="Times New Roman" w:hAnsi="Times New Roman" w:cs="Times New Roman"/>
          <w:color w:val="000000"/>
          <w:sz w:val="24"/>
          <w:szCs w:val="24"/>
        </w:rPr>
        <w:t>, with additional signs of fluorescence at these peaks.</w:t>
      </w:r>
      <w:r w:rsidR="007C5CFA" w:rsidRPr="00BF0EBC">
        <w:rPr>
          <w:rFonts w:ascii="Times New Roman" w:eastAsia="Times New Roman" w:hAnsi="Times New Roman" w:cs="Times New Roman"/>
          <w:color w:val="000000"/>
          <w:sz w:val="24"/>
          <w:szCs w:val="24"/>
        </w:rPr>
        <w:t xml:space="preserve"> Based on previous literature which indicate that FAM was pH dependent at 4.5, whereas if the solution was too acidic it would deprotonate the fluorophore causing lack of fluorescence, conditions were tested for optimal conditions </w:t>
      </w:r>
      <w:r w:rsidR="00C70856" w:rsidRPr="00C70856">
        <w:rPr>
          <w:rFonts w:ascii="Times New Roman" w:eastAsia="Times New Roman" w:hAnsi="Times New Roman" w:cs="Times New Roman"/>
          <w:color w:val="000000"/>
          <w:sz w:val="24"/>
          <w:szCs w:val="24"/>
        </w:rPr>
        <w:t>at pH conditions of 4.5, 7, and 12 in water</w:t>
      </w:r>
      <w:r w:rsidR="00BC7B4A" w:rsidRPr="00BF0EBC">
        <w:rPr>
          <w:rFonts w:ascii="Times New Roman" w:eastAsia="Times New Roman" w:hAnsi="Times New Roman" w:cs="Times New Roman"/>
          <w:color w:val="000000"/>
          <w:sz w:val="24"/>
          <w:szCs w:val="24"/>
        </w:rPr>
        <w:t xml:space="preserve"> as seen in Table 1</w:t>
      </w:r>
      <w:r w:rsidR="00C70856" w:rsidRPr="00C70856">
        <w:rPr>
          <w:rFonts w:ascii="Times New Roman" w:eastAsia="Times New Roman" w:hAnsi="Times New Roman" w:cs="Times New Roman"/>
          <w:color w:val="000000"/>
          <w:sz w:val="24"/>
          <w:szCs w:val="24"/>
        </w:rPr>
        <w:t>.</w:t>
      </w:r>
      <w:r w:rsidR="007C5CFA" w:rsidRPr="00BF0EBC">
        <w:rPr>
          <w:rFonts w:ascii="Times New Roman" w:eastAsia="Times New Roman" w:hAnsi="Times New Roman" w:cs="Times New Roman"/>
          <w:color w:val="000000"/>
          <w:sz w:val="24"/>
          <w:szCs w:val="24"/>
        </w:rPr>
        <w:t xml:space="preserve"> </w:t>
      </w:r>
      <w:r w:rsidR="00C70856" w:rsidRPr="00C70856">
        <w:rPr>
          <w:rFonts w:ascii="Times New Roman" w:eastAsia="Times New Roman" w:hAnsi="Times New Roman" w:cs="Times New Roman"/>
          <w:color w:val="000000"/>
          <w:sz w:val="24"/>
          <w:szCs w:val="24"/>
        </w:rPr>
        <w:t>FAM absorbance is characterized as occurring at 495nm</w:t>
      </w:r>
      <w:r w:rsidR="007C5CFA" w:rsidRPr="00BF0EBC">
        <w:rPr>
          <w:rFonts w:ascii="Times New Roman" w:eastAsia="Times New Roman" w:hAnsi="Times New Roman" w:cs="Times New Roman"/>
          <w:color w:val="000000"/>
          <w:sz w:val="24"/>
          <w:szCs w:val="24"/>
        </w:rPr>
        <w:t xml:space="preserve">, therefore </w:t>
      </w:r>
      <w:proofErr w:type="spellStart"/>
      <w:r w:rsidR="007C5CFA" w:rsidRPr="00BF0EBC">
        <w:rPr>
          <w:rFonts w:ascii="Times New Roman" w:eastAsia="Times New Roman" w:hAnsi="Times New Roman" w:cs="Times New Roman"/>
          <w:color w:val="000000"/>
          <w:sz w:val="24"/>
          <w:szCs w:val="24"/>
        </w:rPr>
        <w:t>its</w:t>
      </w:r>
      <w:proofErr w:type="spellEnd"/>
      <w:r w:rsidR="007C5CFA" w:rsidRPr="00BF0EBC">
        <w:rPr>
          <w:rFonts w:ascii="Times New Roman" w:eastAsia="Times New Roman" w:hAnsi="Times New Roman" w:cs="Times New Roman"/>
          <w:color w:val="000000"/>
          <w:sz w:val="24"/>
          <w:szCs w:val="24"/>
        </w:rPr>
        <w:t xml:space="preserve"> expected that conjugated peaks would appear at this absorbance </w:t>
      </w:r>
      <w:r w:rsidR="001E5B73" w:rsidRPr="00BF0EBC">
        <w:rPr>
          <w:rFonts w:ascii="Times New Roman" w:eastAsia="Times New Roman" w:hAnsi="Times New Roman" w:cs="Times New Roman"/>
          <w:color w:val="000000"/>
          <w:sz w:val="24"/>
          <w:szCs w:val="24"/>
        </w:rPr>
        <w:t>and</w:t>
      </w:r>
      <w:r w:rsidR="007C5CFA" w:rsidRPr="00BF0EBC">
        <w:rPr>
          <w:rFonts w:ascii="Times New Roman" w:eastAsia="Times New Roman" w:hAnsi="Times New Roman" w:cs="Times New Roman"/>
          <w:color w:val="000000"/>
          <w:sz w:val="24"/>
          <w:szCs w:val="24"/>
        </w:rPr>
        <w:t xml:space="preserve"> demonstrate fluorescent capacity. In both conditions, incorporated and un-incorporated </w:t>
      </w:r>
      <w:proofErr w:type="spellStart"/>
      <w:r w:rsidR="007C5CFA" w:rsidRPr="00BF0EBC">
        <w:rPr>
          <w:rFonts w:ascii="Times New Roman" w:eastAsia="Times New Roman" w:hAnsi="Times New Roman" w:cs="Times New Roman"/>
          <w:color w:val="000000"/>
          <w:sz w:val="24"/>
          <w:szCs w:val="24"/>
        </w:rPr>
        <w:t>VdU</w:t>
      </w:r>
      <w:proofErr w:type="spellEnd"/>
      <w:r w:rsidR="007C5CFA" w:rsidRPr="00BF0EBC">
        <w:rPr>
          <w:rFonts w:ascii="Times New Roman" w:eastAsia="Times New Roman" w:hAnsi="Times New Roman" w:cs="Times New Roman"/>
          <w:color w:val="000000"/>
          <w:sz w:val="24"/>
          <w:szCs w:val="24"/>
        </w:rPr>
        <w:t>, there was no sign of conjugation</w:t>
      </w:r>
      <w:r w:rsidR="001E5B73" w:rsidRPr="00BF0EBC">
        <w:rPr>
          <w:rFonts w:ascii="Times New Roman" w:eastAsia="Times New Roman" w:hAnsi="Times New Roman" w:cs="Times New Roman"/>
          <w:color w:val="000000"/>
          <w:sz w:val="24"/>
          <w:szCs w:val="24"/>
        </w:rPr>
        <w:t xml:space="preserve"> or </w:t>
      </w:r>
      <w:r w:rsidR="00C70856" w:rsidRPr="00C70856">
        <w:rPr>
          <w:rFonts w:ascii="Times New Roman" w:eastAsia="Times New Roman" w:hAnsi="Times New Roman" w:cs="Times New Roman"/>
          <w:color w:val="000000"/>
          <w:sz w:val="24"/>
          <w:szCs w:val="24"/>
        </w:rPr>
        <w:t xml:space="preserve">fluorophore spectra detected. </w:t>
      </w:r>
      <w:r w:rsidR="001E5B73" w:rsidRPr="00BF0EBC">
        <w:rPr>
          <w:rFonts w:ascii="Times New Roman" w:eastAsia="Times New Roman" w:hAnsi="Times New Roman" w:cs="Times New Roman"/>
          <w:color w:val="000000"/>
          <w:sz w:val="24"/>
          <w:szCs w:val="24"/>
        </w:rPr>
        <w:t xml:space="preserve">Since the dye itself was not fluorescing, it was determined that other conditions may </w:t>
      </w:r>
      <w:r w:rsidR="00BC7B4A" w:rsidRPr="00BF0EBC">
        <w:rPr>
          <w:rFonts w:ascii="Times New Roman" w:eastAsia="Times New Roman" w:hAnsi="Times New Roman" w:cs="Times New Roman"/>
          <w:color w:val="000000"/>
          <w:sz w:val="24"/>
          <w:szCs w:val="24"/>
        </w:rPr>
        <w:t>affect</w:t>
      </w:r>
      <w:r w:rsidR="001E5B73" w:rsidRPr="00BF0EBC">
        <w:rPr>
          <w:rFonts w:ascii="Times New Roman" w:eastAsia="Times New Roman" w:hAnsi="Times New Roman" w:cs="Times New Roman"/>
          <w:color w:val="000000"/>
          <w:sz w:val="24"/>
          <w:szCs w:val="24"/>
        </w:rPr>
        <w:t xml:space="preserve"> fluorescence of the fluorophore.</w:t>
      </w:r>
    </w:p>
    <w:p w14:paraId="0FEC6509" w14:textId="1B8852A2" w:rsidR="0057418F" w:rsidRPr="00BF0EBC" w:rsidRDefault="00EC1C87" w:rsidP="00F83B09">
      <w:pPr>
        <w:spacing w:line="276" w:lineRule="auto"/>
        <w:ind w:firstLine="180"/>
        <w:rPr>
          <w:rFonts w:ascii="Times New Roman" w:eastAsia="Times New Roman" w:hAnsi="Times New Roman" w:cs="Times New Roman"/>
          <w:color w:val="000000"/>
          <w:sz w:val="24"/>
          <w:szCs w:val="24"/>
        </w:rPr>
      </w:pPr>
      <w:r w:rsidRPr="00BF0EBC">
        <w:rPr>
          <w:rFonts w:ascii="Times New Roman" w:eastAsia="Times New Roman" w:hAnsi="Times New Roman" w:cs="Times New Roman"/>
          <w:color w:val="000000"/>
          <w:sz w:val="24"/>
          <w:szCs w:val="24"/>
        </w:rPr>
        <w:t xml:space="preserve">During this study, we were unable to successfully conjugate a fluorophore onto </w:t>
      </w:r>
      <w:proofErr w:type="spellStart"/>
      <w:r w:rsidRPr="00BF0EBC">
        <w:rPr>
          <w:rFonts w:ascii="Times New Roman" w:eastAsia="Times New Roman" w:hAnsi="Times New Roman" w:cs="Times New Roman"/>
          <w:color w:val="000000"/>
          <w:sz w:val="24"/>
          <w:szCs w:val="24"/>
        </w:rPr>
        <w:t>VdU</w:t>
      </w:r>
      <w:proofErr w:type="spellEnd"/>
      <w:r w:rsidRPr="00BF0EBC">
        <w:rPr>
          <w:rFonts w:ascii="Times New Roman" w:eastAsia="Times New Roman" w:hAnsi="Times New Roman" w:cs="Times New Roman"/>
          <w:color w:val="000000"/>
          <w:sz w:val="24"/>
          <w:szCs w:val="24"/>
        </w:rPr>
        <w:t xml:space="preserve"> that was DNA incorporated. </w:t>
      </w:r>
      <w:r w:rsidR="00EF4091" w:rsidRPr="00BF0EBC">
        <w:rPr>
          <w:rFonts w:ascii="Times New Roman" w:eastAsia="Times New Roman" w:hAnsi="Times New Roman" w:cs="Times New Roman"/>
          <w:color w:val="000000"/>
          <w:sz w:val="24"/>
          <w:szCs w:val="24"/>
        </w:rPr>
        <w:t xml:space="preserve">Based on the chemistry of the </w:t>
      </w:r>
      <w:proofErr w:type="spellStart"/>
      <w:r w:rsidR="00EF4091" w:rsidRPr="00BF0EBC">
        <w:rPr>
          <w:rFonts w:ascii="Times New Roman" w:eastAsia="Times New Roman" w:hAnsi="Times New Roman" w:cs="Times New Roman"/>
          <w:color w:val="000000"/>
          <w:sz w:val="24"/>
          <w:szCs w:val="24"/>
        </w:rPr>
        <w:t>VdU</w:t>
      </w:r>
      <w:proofErr w:type="spellEnd"/>
      <w:r w:rsidR="00EF4091" w:rsidRPr="00BF0EBC">
        <w:rPr>
          <w:rFonts w:ascii="Times New Roman" w:eastAsia="Times New Roman" w:hAnsi="Times New Roman" w:cs="Times New Roman"/>
          <w:color w:val="000000"/>
          <w:sz w:val="24"/>
          <w:szCs w:val="24"/>
        </w:rPr>
        <w:t xml:space="preserve"> and the Fam-Maleimide fluorophore as seen in Figure 13, we were able to determine possible chemical structure and exact mass of the conjugate. Both FAM-Male</w:t>
      </w:r>
      <w:r w:rsidR="0057418F" w:rsidRPr="00BF0EBC">
        <w:rPr>
          <w:rFonts w:ascii="Times New Roman" w:eastAsia="Times New Roman" w:hAnsi="Times New Roman" w:cs="Times New Roman"/>
          <w:color w:val="000000"/>
          <w:sz w:val="24"/>
          <w:szCs w:val="24"/>
        </w:rPr>
        <w:t>i</w:t>
      </w:r>
      <w:r w:rsidR="00EF4091" w:rsidRPr="00BF0EBC">
        <w:rPr>
          <w:rFonts w:ascii="Times New Roman" w:eastAsia="Times New Roman" w:hAnsi="Times New Roman" w:cs="Times New Roman"/>
          <w:color w:val="000000"/>
          <w:sz w:val="24"/>
          <w:szCs w:val="24"/>
        </w:rPr>
        <w:t>mide and Tamara-Tetrazine have proven to be soluble in DMF</w:t>
      </w:r>
      <w:r w:rsidR="0057418F" w:rsidRPr="00BF0EBC">
        <w:rPr>
          <w:rFonts w:ascii="Times New Roman" w:eastAsia="Times New Roman" w:hAnsi="Times New Roman" w:cs="Times New Roman"/>
          <w:color w:val="000000"/>
          <w:sz w:val="24"/>
          <w:szCs w:val="24"/>
        </w:rPr>
        <w:t xml:space="preserve">, therefore the conditions seen in Table </w:t>
      </w:r>
      <w:r w:rsidR="00BC7B4A" w:rsidRPr="00BF0EBC">
        <w:rPr>
          <w:rFonts w:ascii="Times New Roman" w:eastAsia="Times New Roman" w:hAnsi="Times New Roman" w:cs="Times New Roman"/>
          <w:color w:val="000000"/>
          <w:sz w:val="24"/>
          <w:szCs w:val="24"/>
        </w:rPr>
        <w:t xml:space="preserve">2, which </w:t>
      </w:r>
      <w:r w:rsidR="0057418F" w:rsidRPr="00BF0EBC">
        <w:rPr>
          <w:rFonts w:ascii="Times New Roman" w:eastAsia="Times New Roman" w:hAnsi="Times New Roman" w:cs="Times New Roman"/>
          <w:color w:val="000000"/>
          <w:sz w:val="24"/>
          <w:szCs w:val="24"/>
        </w:rPr>
        <w:t xml:space="preserve">were tested for optimal solvent conditions and temperature. </w:t>
      </w:r>
      <w:r w:rsidR="0057418F" w:rsidRPr="00C70856">
        <w:rPr>
          <w:rFonts w:ascii="Times New Roman" w:eastAsia="Times New Roman" w:hAnsi="Times New Roman" w:cs="Times New Roman"/>
          <w:color w:val="000000"/>
          <w:sz w:val="24"/>
          <w:szCs w:val="24"/>
        </w:rPr>
        <w:t xml:space="preserve">Neither Maleimide nor Tetrazine demonstrated conjugation at room temperature when incubated overnight. After overnight incubation and digestion, there were no signs of dye conjugations with either Maleimide or Tetrazine in any conditions at 75C when compared to dye standards and untreated control (Figure 8 &amp; Figure 9). </w:t>
      </w:r>
      <w:r w:rsidR="0057418F" w:rsidRPr="00BF0EBC">
        <w:rPr>
          <w:rFonts w:ascii="Times New Roman" w:eastAsia="Times New Roman" w:hAnsi="Times New Roman" w:cs="Times New Roman"/>
          <w:color w:val="000000"/>
          <w:sz w:val="24"/>
          <w:szCs w:val="24"/>
        </w:rPr>
        <w:t xml:space="preserve">Tamara-Tetrazine did not exhibit any signs of conjugation at 35C, however, Maleimide exhibited a new peak between </w:t>
      </w:r>
      <w:proofErr w:type="spellStart"/>
      <w:r w:rsidR="00E90F69" w:rsidRPr="00BF0EBC">
        <w:rPr>
          <w:rFonts w:ascii="Times New Roman" w:eastAsia="Times New Roman" w:hAnsi="Times New Roman" w:cs="Times New Roman"/>
          <w:color w:val="000000"/>
          <w:sz w:val="24"/>
          <w:szCs w:val="24"/>
        </w:rPr>
        <w:t>VdU</w:t>
      </w:r>
      <w:proofErr w:type="spellEnd"/>
      <w:r w:rsidR="00E90F69" w:rsidRPr="00BF0EBC">
        <w:rPr>
          <w:rFonts w:ascii="Times New Roman" w:eastAsia="Times New Roman" w:hAnsi="Times New Roman" w:cs="Times New Roman"/>
          <w:color w:val="000000"/>
          <w:sz w:val="24"/>
          <w:szCs w:val="24"/>
        </w:rPr>
        <w:t xml:space="preserve"> and excess dye at approximately 33 minutes in water as seen in Figure 10. This peak did not exhibit signs of </w:t>
      </w:r>
      <w:r w:rsidR="00E90F69" w:rsidRPr="00BF0EBC">
        <w:rPr>
          <w:rFonts w:ascii="Times New Roman" w:eastAsia="Times New Roman" w:hAnsi="Times New Roman" w:cs="Times New Roman"/>
          <w:color w:val="000000"/>
          <w:sz w:val="24"/>
          <w:szCs w:val="24"/>
        </w:rPr>
        <w:lastRenderedPageBreak/>
        <w:t xml:space="preserve">fluorescence at </w:t>
      </w:r>
      <w:r w:rsidR="00BC7B4A" w:rsidRPr="00BF0EBC">
        <w:rPr>
          <w:rFonts w:ascii="Times New Roman" w:eastAsia="Times New Roman" w:hAnsi="Times New Roman" w:cs="Times New Roman"/>
          <w:color w:val="000000"/>
          <w:sz w:val="24"/>
          <w:szCs w:val="24"/>
        </w:rPr>
        <w:t>450nm;</w:t>
      </w:r>
      <w:r w:rsidR="00E90F69" w:rsidRPr="00BF0EBC">
        <w:rPr>
          <w:rFonts w:ascii="Times New Roman" w:eastAsia="Times New Roman" w:hAnsi="Times New Roman" w:cs="Times New Roman"/>
          <w:color w:val="000000"/>
          <w:sz w:val="24"/>
          <w:szCs w:val="24"/>
        </w:rPr>
        <w:t xml:space="preserve"> therefore</w:t>
      </w:r>
      <w:r w:rsidR="0002692C">
        <w:rPr>
          <w:rFonts w:ascii="Times New Roman" w:eastAsia="Times New Roman" w:hAnsi="Times New Roman" w:cs="Times New Roman"/>
          <w:color w:val="000000"/>
          <w:sz w:val="24"/>
          <w:szCs w:val="24"/>
        </w:rPr>
        <w:t>,</w:t>
      </w:r>
      <w:r w:rsidR="00E90F69" w:rsidRPr="00BF0EBC">
        <w:rPr>
          <w:rFonts w:ascii="Times New Roman" w:eastAsia="Times New Roman" w:hAnsi="Times New Roman" w:cs="Times New Roman"/>
          <w:color w:val="000000"/>
          <w:sz w:val="24"/>
          <w:szCs w:val="24"/>
        </w:rPr>
        <w:t xml:space="preserve"> other solvent conditions were explored in both incorporated and unincorporated form. </w:t>
      </w:r>
    </w:p>
    <w:p w14:paraId="6D2AB7EF" w14:textId="48DF2C2B" w:rsidR="00E90F69" w:rsidRPr="00BF0EBC" w:rsidRDefault="00E90F69" w:rsidP="002F573D">
      <w:pPr>
        <w:spacing w:after="0" w:line="276" w:lineRule="auto"/>
        <w:rPr>
          <w:rFonts w:ascii="Times New Roman" w:eastAsia="Times New Roman" w:hAnsi="Times New Roman" w:cs="Times New Roman"/>
          <w:color w:val="000000"/>
          <w:sz w:val="24"/>
          <w:szCs w:val="24"/>
        </w:rPr>
      </w:pPr>
    </w:p>
    <w:p w14:paraId="1E971447" w14:textId="67A9A0EB" w:rsidR="00EC1C87" w:rsidRPr="00BF0EBC" w:rsidRDefault="00E90F69" w:rsidP="00F83B09">
      <w:pPr>
        <w:spacing w:after="0" w:line="276" w:lineRule="auto"/>
        <w:ind w:firstLine="180"/>
        <w:rPr>
          <w:rFonts w:ascii="Times New Roman" w:eastAsia="Times New Roman" w:hAnsi="Times New Roman" w:cs="Times New Roman"/>
          <w:color w:val="000000"/>
          <w:sz w:val="24"/>
          <w:szCs w:val="24"/>
        </w:rPr>
      </w:pPr>
      <w:r w:rsidRPr="00BF0EBC">
        <w:rPr>
          <w:rFonts w:ascii="Times New Roman" w:eastAsia="Times New Roman" w:hAnsi="Times New Roman" w:cs="Times New Roman"/>
          <w:color w:val="000000"/>
          <w:sz w:val="24"/>
          <w:szCs w:val="24"/>
        </w:rPr>
        <w:t xml:space="preserve">Since </w:t>
      </w:r>
      <w:proofErr w:type="spellStart"/>
      <w:r w:rsidRPr="00BF0EBC">
        <w:rPr>
          <w:rFonts w:ascii="Times New Roman" w:eastAsia="Times New Roman" w:hAnsi="Times New Roman" w:cs="Times New Roman"/>
          <w:color w:val="000000"/>
          <w:sz w:val="24"/>
          <w:szCs w:val="24"/>
        </w:rPr>
        <w:t>VdU</w:t>
      </w:r>
      <w:proofErr w:type="spellEnd"/>
      <w:r w:rsidRPr="00BF0EBC">
        <w:rPr>
          <w:rFonts w:ascii="Times New Roman" w:eastAsia="Times New Roman" w:hAnsi="Times New Roman" w:cs="Times New Roman"/>
          <w:color w:val="000000"/>
          <w:sz w:val="24"/>
          <w:szCs w:val="24"/>
        </w:rPr>
        <w:t xml:space="preserve"> was no</w:t>
      </w:r>
      <w:r w:rsidR="009C767D" w:rsidRPr="00BF0EBC">
        <w:rPr>
          <w:rFonts w:ascii="Times New Roman" w:eastAsia="Times New Roman" w:hAnsi="Times New Roman" w:cs="Times New Roman"/>
          <w:color w:val="000000"/>
          <w:sz w:val="24"/>
          <w:szCs w:val="24"/>
        </w:rPr>
        <w:t>t</w:t>
      </w:r>
      <w:r w:rsidRPr="00BF0EBC">
        <w:rPr>
          <w:rFonts w:ascii="Times New Roman" w:eastAsia="Times New Roman" w:hAnsi="Times New Roman" w:cs="Times New Roman"/>
          <w:color w:val="000000"/>
          <w:sz w:val="24"/>
          <w:szCs w:val="24"/>
        </w:rPr>
        <w:t xml:space="preserve"> demonstrating fluorescence in DMF, DMSO was also </w:t>
      </w:r>
      <w:r w:rsidR="00BC7B4A" w:rsidRPr="00BF0EBC">
        <w:rPr>
          <w:rFonts w:ascii="Times New Roman" w:eastAsia="Times New Roman" w:hAnsi="Times New Roman" w:cs="Times New Roman"/>
          <w:color w:val="000000"/>
          <w:sz w:val="24"/>
          <w:szCs w:val="24"/>
        </w:rPr>
        <w:t>applied</w:t>
      </w:r>
      <w:r w:rsidRPr="00BF0EBC">
        <w:rPr>
          <w:rFonts w:ascii="Times New Roman" w:eastAsia="Times New Roman" w:hAnsi="Times New Roman" w:cs="Times New Roman"/>
          <w:color w:val="000000"/>
          <w:sz w:val="24"/>
          <w:szCs w:val="24"/>
        </w:rPr>
        <w:t xml:space="preserve"> for both incorporated and unincorporated DNA. In DMSO, optimal solubility of the dyes was estimated to be at 37C overnight</w:t>
      </w:r>
      <w:r w:rsidR="009C767D" w:rsidRPr="00BF0EBC">
        <w:rPr>
          <w:rFonts w:ascii="Times New Roman" w:eastAsia="Times New Roman" w:hAnsi="Times New Roman" w:cs="Times New Roman"/>
          <w:color w:val="000000"/>
          <w:sz w:val="24"/>
          <w:szCs w:val="24"/>
        </w:rPr>
        <w:t xml:space="preserve"> based on previous literature</w:t>
      </w:r>
      <w:r w:rsidRPr="00BF0EBC">
        <w:rPr>
          <w:rFonts w:ascii="Times New Roman" w:eastAsia="Times New Roman" w:hAnsi="Times New Roman" w:cs="Times New Roman"/>
          <w:color w:val="000000"/>
          <w:sz w:val="24"/>
          <w:szCs w:val="24"/>
        </w:rPr>
        <w:t xml:space="preserve">. </w:t>
      </w:r>
      <w:r w:rsidR="00EF4091" w:rsidRPr="00C70856">
        <w:rPr>
          <w:rFonts w:ascii="Times New Roman" w:eastAsia="Times New Roman" w:hAnsi="Times New Roman" w:cs="Times New Roman"/>
          <w:color w:val="000000"/>
          <w:sz w:val="24"/>
          <w:szCs w:val="24"/>
        </w:rPr>
        <w:t xml:space="preserve">When non-incorporated nucleoside </w:t>
      </w:r>
      <w:proofErr w:type="spellStart"/>
      <w:r w:rsidR="00EF4091" w:rsidRPr="00C70856">
        <w:rPr>
          <w:rFonts w:ascii="Times New Roman" w:eastAsia="Times New Roman" w:hAnsi="Times New Roman" w:cs="Times New Roman"/>
          <w:color w:val="000000"/>
          <w:sz w:val="24"/>
          <w:szCs w:val="24"/>
        </w:rPr>
        <w:t>VdU</w:t>
      </w:r>
      <w:proofErr w:type="spellEnd"/>
      <w:r w:rsidR="00EF4091" w:rsidRPr="00C70856">
        <w:rPr>
          <w:rFonts w:ascii="Times New Roman" w:eastAsia="Times New Roman" w:hAnsi="Times New Roman" w:cs="Times New Roman"/>
          <w:color w:val="000000"/>
          <w:sz w:val="24"/>
          <w:szCs w:val="24"/>
        </w:rPr>
        <w:t xml:space="preserve"> and dye in 1:1 DMSO to water</w:t>
      </w:r>
      <w:r w:rsidR="00EF4091" w:rsidRPr="00BF0EBC">
        <w:rPr>
          <w:rFonts w:ascii="Times New Roman" w:eastAsia="Times New Roman" w:hAnsi="Times New Roman" w:cs="Times New Roman"/>
          <w:color w:val="000000"/>
          <w:sz w:val="24"/>
          <w:szCs w:val="24"/>
        </w:rPr>
        <w:t xml:space="preserve"> at 37C</w:t>
      </w:r>
      <w:r w:rsidR="00EF4091" w:rsidRPr="00C70856">
        <w:rPr>
          <w:rFonts w:ascii="Times New Roman" w:eastAsia="Times New Roman" w:hAnsi="Times New Roman" w:cs="Times New Roman"/>
          <w:color w:val="000000"/>
          <w:sz w:val="24"/>
          <w:szCs w:val="24"/>
        </w:rPr>
        <w:t>, there was conjugation detected with Malei</w:t>
      </w:r>
      <w:r w:rsidR="009C767D" w:rsidRPr="00BF0EBC">
        <w:rPr>
          <w:rFonts w:ascii="Times New Roman" w:eastAsia="Times New Roman" w:hAnsi="Times New Roman" w:cs="Times New Roman"/>
          <w:color w:val="000000"/>
          <w:sz w:val="24"/>
          <w:szCs w:val="24"/>
        </w:rPr>
        <w:t>mide</w:t>
      </w:r>
      <w:r w:rsidR="00EF4091" w:rsidRPr="00C70856">
        <w:rPr>
          <w:rFonts w:ascii="Times New Roman" w:eastAsia="Times New Roman" w:hAnsi="Times New Roman" w:cs="Times New Roman"/>
          <w:color w:val="000000"/>
          <w:sz w:val="24"/>
          <w:szCs w:val="24"/>
        </w:rPr>
        <w:t xml:space="preserve"> (Figure </w:t>
      </w:r>
      <w:r w:rsidR="00BC7B4A" w:rsidRPr="00BF0EBC">
        <w:rPr>
          <w:rFonts w:ascii="Times New Roman" w:eastAsia="Times New Roman" w:hAnsi="Times New Roman" w:cs="Times New Roman"/>
          <w:color w:val="000000"/>
          <w:sz w:val="24"/>
          <w:szCs w:val="24"/>
        </w:rPr>
        <w:t>11</w:t>
      </w:r>
      <w:r w:rsidR="00EF4091" w:rsidRPr="00C70856">
        <w:rPr>
          <w:rFonts w:ascii="Times New Roman" w:eastAsia="Times New Roman" w:hAnsi="Times New Roman" w:cs="Times New Roman"/>
          <w:color w:val="000000"/>
          <w:sz w:val="24"/>
          <w:szCs w:val="24"/>
        </w:rPr>
        <w:t>)</w:t>
      </w:r>
      <w:r w:rsidR="00EF4091" w:rsidRPr="00BF0EBC">
        <w:rPr>
          <w:rFonts w:ascii="Times New Roman" w:eastAsia="Times New Roman" w:hAnsi="Times New Roman" w:cs="Times New Roman"/>
          <w:color w:val="000000"/>
          <w:sz w:val="24"/>
          <w:szCs w:val="24"/>
        </w:rPr>
        <w:t xml:space="preserve">. </w:t>
      </w:r>
      <w:r w:rsidR="009C767D" w:rsidRPr="00BF0EBC">
        <w:rPr>
          <w:rFonts w:ascii="Times New Roman" w:eastAsia="Times New Roman" w:hAnsi="Times New Roman" w:cs="Times New Roman"/>
          <w:color w:val="000000"/>
          <w:sz w:val="24"/>
          <w:szCs w:val="24"/>
        </w:rPr>
        <w:t xml:space="preserve">As seen in Figure </w:t>
      </w:r>
      <w:r w:rsidR="00BC7B4A" w:rsidRPr="00BF0EBC">
        <w:rPr>
          <w:rFonts w:ascii="Times New Roman" w:eastAsia="Times New Roman" w:hAnsi="Times New Roman" w:cs="Times New Roman"/>
          <w:color w:val="000000"/>
          <w:sz w:val="24"/>
          <w:szCs w:val="24"/>
        </w:rPr>
        <w:t>11</w:t>
      </w:r>
      <w:r w:rsidR="009C767D" w:rsidRPr="00BF0EBC">
        <w:rPr>
          <w:rFonts w:ascii="Times New Roman" w:eastAsia="Times New Roman" w:hAnsi="Times New Roman" w:cs="Times New Roman"/>
          <w:color w:val="000000"/>
          <w:sz w:val="24"/>
          <w:szCs w:val="24"/>
        </w:rPr>
        <w:t xml:space="preserve">, there were additional peaks formed near the end of the HPLC run at approximately 35 minutes that are not seen the Maleimide standard. Conjugation is additionally thought to occur due to the fluorescence which occurs at the </w:t>
      </w:r>
      <w:r w:rsidR="002527B3" w:rsidRPr="00BF0EBC">
        <w:rPr>
          <w:rFonts w:ascii="Times New Roman" w:eastAsia="Times New Roman" w:hAnsi="Times New Roman" w:cs="Times New Roman"/>
          <w:color w:val="000000"/>
          <w:sz w:val="24"/>
          <w:szCs w:val="24"/>
        </w:rPr>
        <w:t>Maleimide</w:t>
      </w:r>
      <w:r w:rsidR="009C767D" w:rsidRPr="00BF0EBC">
        <w:rPr>
          <w:rFonts w:ascii="Times New Roman" w:eastAsia="Times New Roman" w:hAnsi="Times New Roman" w:cs="Times New Roman"/>
          <w:color w:val="000000"/>
          <w:sz w:val="24"/>
          <w:szCs w:val="24"/>
        </w:rPr>
        <w:t xml:space="preserve"> peak and the additional peaks. Fluorescence is indicated by the spectra seen in Figure </w:t>
      </w:r>
      <w:r w:rsidR="00BC7B4A" w:rsidRPr="00BF0EBC">
        <w:rPr>
          <w:rFonts w:ascii="Times New Roman" w:eastAsia="Times New Roman" w:hAnsi="Times New Roman" w:cs="Times New Roman"/>
          <w:color w:val="000000"/>
          <w:sz w:val="24"/>
          <w:szCs w:val="24"/>
        </w:rPr>
        <w:t>11</w:t>
      </w:r>
      <w:r w:rsidR="009C767D" w:rsidRPr="00BF0EBC">
        <w:rPr>
          <w:rFonts w:ascii="Times New Roman" w:eastAsia="Times New Roman" w:hAnsi="Times New Roman" w:cs="Times New Roman"/>
          <w:color w:val="000000"/>
          <w:sz w:val="24"/>
          <w:szCs w:val="24"/>
        </w:rPr>
        <w:t xml:space="preserve">, which demonstrates a slight peak at approximately 450 nm. </w:t>
      </w:r>
      <w:r w:rsidR="00EF4091" w:rsidRPr="00BF0EBC">
        <w:rPr>
          <w:rFonts w:ascii="Times New Roman" w:eastAsia="Times New Roman" w:hAnsi="Times New Roman" w:cs="Times New Roman"/>
          <w:color w:val="000000"/>
          <w:sz w:val="24"/>
          <w:szCs w:val="24"/>
        </w:rPr>
        <w:t xml:space="preserve">Given the success of this </w:t>
      </w:r>
      <w:r w:rsidR="009C767D" w:rsidRPr="00BF0EBC">
        <w:rPr>
          <w:rFonts w:ascii="Times New Roman" w:eastAsia="Times New Roman" w:hAnsi="Times New Roman" w:cs="Times New Roman"/>
          <w:color w:val="000000"/>
          <w:sz w:val="24"/>
          <w:szCs w:val="24"/>
        </w:rPr>
        <w:t>Maleimide</w:t>
      </w:r>
      <w:r w:rsidR="00EF4091" w:rsidRPr="00BF0EBC">
        <w:rPr>
          <w:rFonts w:ascii="Times New Roman" w:eastAsia="Times New Roman" w:hAnsi="Times New Roman" w:cs="Times New Roman"/>
          <w:color w:val="000000"/>
          <w:sz w:val="24"/>
          <w:szCs w:val="24"/>
        </w:rPr>
        <w:t xml:space="preserve">, non-incorporated </w:t>
      </w:r>
      <w:proofErr w:type="spellStart"/>
      <w:r w:rsidR="00EF4091" w:rsidRPr="00BF0EBC">
        <w:rPr>
          <w:rFonts w:ascii="Times New Roman" w:eastAsia="Times New Roman" w:hAnsi="Times New Roman" w:cs="Times New Roman"/>
          <w:color w:val="000000"/>
          <w:sz w:val="24"/>
          <w:szCs w:val="24"/>
        </w:rPr>
        <w:t>VdU</w:t>
      </w:r>
      <w:proofErr w:type="spellEnd"/>
      <w:r w:rsidR="00EF4091" w:rsidRPr="00BF0EBC">
        <w:rPr>
          <w:rFonts w:ascii="Times New Roman" w:eastAsia="Times New Roman" w:hAnsi="Times New Roman" w:cs="Times New Roman"/>
          <w:color w:val="000000"/>
          <w:sz w:val="24"/>
          <w:szCs w:val="24"/>
        </w:rPr>
        <w:t xml:space="preserve"> nucleoside was also treated with Tamara-Tetrazine in 1:1 DMSO to water at 37C</w:t>
      </w:r>
      <w:r w:rsidR="00BC7B4A" w:rsidRPr="00BF0EBC">
        <w:rPr>
          <w:rFonts w:ascii="Times New Roman" w:eastAsia="Times New Roman" w:hAnsi="Times New Roman" w:cs="Times New Roman"/>
          <w:color w:val="000000"/>
          <w:sz w:val="24"/>
          <w:szCs w:val="24"/>
        </w:rPr>
        <w:t xml:space="preserve"> as seen in figure 12</w:t>
      </w:r>
      <w:r w:rsidR="00EF4091" w:rsidRPr="00BF0EBC">
        <w:rPr>
          <w:rFonts w:ascii="Times New Roman" w:eastAsia="Times New Roman" w:hAnsi="Times New Roman" w:cs="Times New Roman"/>
          <w:color w:val="000000"/>
          <w:sz w:val="24"/>
          <w:szCs w:val="24"/>
        </w:rPr>
        <w:t xml:space="preserve">. </w:t>
      </w:r>
      <w:r w:rsidR="009C767D" w:rsidRPr="00BF0EBC">
        <w:rPr>
          <w:rFonts w:ascii="Times New Roman" w:eastAsia="Times New Roman" w:hAnsi="Times New Roman" w:cs="Times New Roman"/>
          <w:color w:val="000000"/>
          <w:sz w:val="24"/>
          <w:szCs w:val="24"/>
        </w:rPr>
        <w:t xml:space="preserve">Due to signs of conjugation being at the end of HPLC run, the run was extended to 40min </w:t>
      </w:r>
      <w:r w:rsidR="00BC7B4A" w:rsidRPr="00BF0EBC">
        <w:rPr>
          <w:rFonts w:ascii="Times New Roman" w:eastAsia="Times New Roman" w:hAnsi="Times New Roman" w:cs="Times New Roman"/>
          <w:color w:val="000000"/>
          <w:sz w:val="24"/>
          <w:szCs w:val="24"/>
        </w:rPr>
        <w:t>to</w:t>
      </w:r>
      <w:r w:rsidR="009C767D" w:rsidRPr="00BF0EBC">
        <w:rPr>
          <w:rFonts w:ascii="Times New Roman" w:eastAsia="Times New Roman" w:hAnsi="Times New Roman" w:cs="Times New Roman"/>
          <w:color w:val="000000"/>
          <w:sz w:val="24"/>
          <w:szCs w:val="24"/>
        </w:rPr>
        <w:t xml:space="preserve"> </w:t>
      </w:r>
      <w:r w:rsidR="002527B3" w:rsidRPr="00BF0EBC">
        <w:rPr>
          <w:rFonts w:ascii="Times New Roman" w:eastAsia="Times New Roman" w:hAnsi="Times New Roman" w:cs="Times New Roman"/>
          <w:color w:val="000000"/>
          <w:sz w:val="24"/>
          <w:szCs w:val="24"/>
        </w:rPr>
        <w:t xml:space="preserve">determine a more accurate elution time. </w:t>
      </w:r>
      <w:r w:rsidR="00EF4091" w:rsidRPr="00BF0EBC">
        <w:rPr>
          <w:rFonts w:ascii="Times New Roman" w:eastAsia="Times New Roman" w:hAnsi="Times New Roman" w:cs="Times New Roman"/>
          <w:color w:val="000000"/>
          <w:sz w:val="24"/>
          <w:szCs w:val="24"/>
        </w:rPr>
        <w:t xml:space="preserve">Signs of conjugation were detected at </w:t>
      </w:r>
      <w:r w:rsidR="00BC7B4A" w:rsidRPr="00BF0EBC">
        <w:rPr>
          <w:rFonts w:ascii="Times New Roman" w:eastAsia="Times New Roman" w:hAnsi="Times New Roman" w:cs="Times New Roman"/>
          <w:color w:val="000000"/>
          <w:sz w:val="24"/>
          <w:szCs w:val="24"/>
        </w:rPr>
        <w:t>30 minutes;</w:t>
      </w:r>
      <w:r w:rsidR="00EF4091" w:rsidRPr="00BF0EBC">
        <w:rPr>
          <w:rFonts w:ascii="Times New Roman" w:eastAsia="Times New Roman" w:hAnsi="Times New Roman" w:cs="Times New Roman"/>
          <w:color w:val="000000"/>
          <w:sz w:val="24"/>
          <w:szCs w:val="24"/>
        </w:rPr>
        <w:t xml:space="preserve"> however, fluorescence was not as intense as that seen in the Maleimide sample</w:t>
      </w:r>
      <w:r w:rsidR="00BC7B4A" w:rsidRPr="00BF0EBC">
        <w:rPr>
          <w:rFonts w:ascii="Times New Roman" w:eastAsia="Times New Roman" w:hAnsi="Times New Roman" w:cs="Times New Roman"/>
          <w:color w:val="000000"/>
          <w:sz w:val="24"/>
          <w:szCs w:val="24"/>
        </w:rPr>
        <w:t xml:space="preserve"> at 450nm</w:t>
      </w:r>
      <w:r w:rsidR="00992026" w:rsidRPr="00BF0EBC">
        <w:rPr>
          <w:rFonts w:ascii="Times New Roman" w:eastAsia="Times New Roman" w:hAnsi="Times New Roman" w:cs="Times New Roman"/>
          <w:color w:val="000000"/>
          <w:sz w:val="24"/>
          <w:szCs w:val="24"/>
        </w:rPr>
        <w:t xml:space="preserve">. </w:t>
      </w:r>
      <w:r w:rsidR="002527B3" w:rsidRPr="00BF0EBC">
        <w:rPr>
          <w:rFonts w:ascii="Times New Roman" w:eastAsia="Times New Roman" w:hAnsi="Times New Roman" w:cs="Times New Roman"/>
          <w:color w:val="000000"/>
          <w:sz w:val="24"/>
          <w:szCs w:val="24"/>
        </w:rPr>
        <w:t xml:space="preserve">The condition of 1:1 DMSO to water was also applied to </w:t>
      </w:r>
      <w:proofErr w:type="spellStart"/>
      <w:r w:rsidR="002527B3" w:rsidRPr="00BF0EBC">
        <w:rPr>
          <w:rFonts w:ascii="Times New Roman" w:eastAsia="Times New Roman" w:hAnsi="Times New Roman" w:cs="Times New Roman"/>
          <w:color w:val="000000"/>
          <w:sz w:val="24"/>
          <w:szCs w:val="24"/>
        </w:rPr>
        <w:t>VdU</w:t>
      </w:r>
      <w:proofErr w:type="spellEnd"/>
      <w:r w:rsidR="002527B3" w:rsidRPr="00BF0EBC">
        <w:rPr>
          <w:rFonts w:ascii="Times New Roman" w:eastAsia="Times New Roman" w:hAnsi="Times New Roman" w:cs="Times New Roman"/>
          <w:color w:val="000000"/>
          <w:sz w:val="24"/>
          <w:szCs w:val="24"/>
        </w:rPr>
        <w:t xml:space="preserve"> incorporated DNA, as seen in Figure </w:t>
      </w:r>
      <w:r w:rsidR="00BC7B4A" w:rsidRPr="00BF0EBC">
        <w:rPr>
          <w:rFonts w:ascii="Times New Roman" w:eastAsia="Times New Roman" w:hAnsi="Times New Roman" w:cs="Times New Roman"/>
          <w:color w:val="000000"/>
          <w:sz w:val="24"/>
          <w:szCs w:val="24"/>
        </w:rPr>
        <w:t>14. Despite</w:t>
      </w:r>
      <w:r w:rsidR="00992026" w:rsidRPr="00BF0EBC">
        <w:rPr>
          <w:rFonts w:ascii="Times New Roman" w:eastAsia="Times New Roman" w:hAnsi="Times New Roman" w:cs="Times New Roman"/>
          <w:color w:val="000000"/>
          <w:sz w:val="24"/>
          <w:szCs w:val="24"/>
        </w:rPr>
        <w:t xml:space="preserve"> the success seen in the non-incorporated nucleoside form</w:t>
      </w:r>
      <w:r w:rsidR="002527B3" w:rsidRPr="00BF0EBC">
        <w:rPr>
          <w:rFonts w:ascii="Times New Roman" w:eastAsia="Times New Roman" w:hAnsi="Times New Roman" w:cs="Times New Roman"/>
          <w:color w:val="000000"/>
          <w:sz w:val="24"/>
          <w:szCs w:val="24"/>
        </w:rPr>
        <w:t xml:space="preserve">, there was no sign of an additional peak or fluorescence under these conditions. </w:t>
      </w:r>
    </w:p>
    <w:p w14:paraId="584C41B8" w14:textId="3F056DB7" w:rsidR="00C70856" w:rsidRPr="00C70856" w:rsidRDefault="00C70856" w:rsidP="002F573D">
      <w:pPr>
        <w:pStyle w:val="Heading3"/>
        <w:spacing w:line="276" w:lineRule="auto"/>
      </w:pPr>
      <w:bookmarkStart w:id="54" w:name="_Toc101972234"/>
      <w:bookmarkStart w:id="55" w:name="_Toc102048566"/>
      <w:r w:rsidRPr="00C70856">
        <w:t xml:space="preserve">Treated </w:t>
      </w:r>
      <w:proofErr w:type="spellStart"/>
      <w:r w:rsidRPr="00C70856">
        <w:t>dI</w:t>
      </w:r>
      <w:proofErr w:type="spellEnd"/>
      <w:r w:rsidRPr="00C70856">
        <w:t xml:space="preserve"> DNA with </w:t>
      </w:r>
      <w:r w:rsidR="00D74740" w:rsidRPr="00C70856">
        <w:t>Glycosylase</w:t>
      </w:r>
      <w:bookmarkEnd w:id="54"/>
      <w:bookmarkEnd w:id="55"/>
    </w:p>
    <w:p w14:paraId="19CB0195" w14:textId="2E4E2DAC" w:rsidR="00CE65D7" w:rsidRPr="00BF0EBC" w:rsidRDefault="002527B3" w:rsidP="00F83B09">
      <w:pPr>
        <w:spacing w:after="0" w:line="276" w:lineRule="auto"/>
        <w:ind w:firstLine="180"/>
        <w:rPr>
          <w:rFonts w:ascii="Times New Roman" w:eastAsia="Times New Roman" w:hAnsi="Times New Roman" w:cs="Times New Roman"/>
          <w:color w:val="000000"/>
          <w:sz w:val="24"/>
          <w:szCs w:val="24"/>
        </w:rPr>
      </w:pPr>
      <w:r w:rsidRPr="00BF0EBC">
        <w:rPr>
          <w:rFonts w:ascii="Times New Roman" w:eastAsia="Times New Roman" w:hAnsi="Times New Roman" w:cs="Times New Roman"/>
          <w:color w:val="000000"/>
          <w:sz w:val="24"/>
          <w:szCs w:val="24"/>
        </w:rPr>
        <w:t xml:space="preserve">Due to varied success with the </w:t>
      </w:r>
      <w:proofErr w:type="spellStart"/>
      <w:r w:rsidRPr="00BF0EBC">
        <w:rPr>
          <w:rFonts w:ascii="Times New Roman" w:eastAsia="Times New Roman" w:hAnsi="Times New Roman" w:cs="Times New Roman"/>
          <w:color w:val="000000"/>
          <w:sz w:val="24"/>
          <w:szCs w:val="24"/>
        </w:rPr>
        <w:t>VdU</w:t>
      </w:r>
      <w:proofErr w:type="spellEnd"/>
      <w:r w:rsidRPr="00BF0EBC">
        <w:rPr>
          <w:rFonts w:ascii="Times New Roman" w:eastAsia="Times New Roman" w:hAnsi="Times New Roman" w:cs="Times New Roman"/>
          <w:color w:val="000000"/>
          <w:sz w:val="24"/>
          <w:szCs w:val="24"/>
        </w:rPr>
        <w:t xml:space="preserve">, the alternative method of incorporating </w:t>
      </w:r>
      <w:proofErr w:type="spellStart"/>
      <w:r w:rsidRPr="00BF0EBC">
        <w:rPr>
          <w:rFonts w:ascii="Times New Roman" w:eastAsia="Times New Roman" w:hAnsi="Times New Roman" w:cs="Times New Roman"/>
          <w:color w:val="000000"/>
          <w:sz w:val="24"/>
          <w:szCs w:val="24"/>
        </w:rPr>
        <w:t>dI</w:t>
      </w:r>
      <w:proofErr w:type="spellEnd"/>
      <w:r w:rsidRPr="00BF0EBC">
        <w:rPr>
          <w:rFonts w:ascii="Times New Roman" w:eastAsia="Times New Roman" w:hAnsi="Times New Roman" w:cs="Times New Roman"/>
          <w:color w:val="000000"/>
          <w:sz w:val="24"/>
          <w:szCs w:val="24"/>
        </w:rPr>
        <w:t xml:space="preserve"> into DNA was done in tandem with the </w:t>
      </w:r>
      <w:proofErr w:type="spellStart"/>
      <w:r w:rsidRPr="00BF0EBC">
        <w:rPr>
          <w:rFonts w:ascii="Times New Roman" w:eastAsia="Times New Roman" w:hAnsi="Times New Roman" w:cs="Times New Roman"/>
          <w:color w:val="000000"/>
          <w:sz w:val="24"/>
          <w:szCs w:val="24"/>
        </w:rPr>
        <w:t>VdU</w:t>
      </w:r>
      <w:proofErr w:type="spellEnd"/>
      <w:r w:rsidRPr="00BF0EBC">
        <w:rPr>
          <w:rFonts w:ascii="Times New Roman" w:eastAsia="Times New Roman" w:hAnsi="Times New Roman" w:cs="Times New Roman"/>
          <w:color w:val="000000"/>
          <w:sz w:val="24"/>
          <w:szCs w:val="24"/>
        </w:rPr>
        <w:t xml:space="preserve"> assays. Following the success of the 24hr incubation with </w:t>
      </w:r>
      <w:proofErr w:type="spellStart"/>
      <w:r w:rsidRPr="00BF0EBC">
        <w:rPr>
          <w:rFonts w:ascii="Times New Roman" w:eastAsia="Times New Roman" w:hAnsi="Times New Roman" w:cs="Times New Roman"/>
          <w:color w:val="000000"/>
          <w:sz w:val="24"/>
          <w:szCs w:val="24"/>
        </w:rPr>
        <w:t>VdU</w:t>
      </w:r>
      <w:proofErr w:type="spellEnd"/>
      <w:r w:rsidRPr="00BF0EBC">
        <w:rPr>
          <w:rFonts w:ascii="Times New Roman" w:eastAsia="Times New Roman" w:hAnsi="Times New Roman" w:cs="Times New Roman"/>
          <w:color w:val="000000"/>
          <w:sz w:val="24"/>
          <w:szCs w:val="24"/>
        </w:rPr>
        <w:t xml:space="preserve">, </w:t>
      </w:r>
      <w:proofErr w:type="spellStart"/>
      <w:r w:rsidRPr="00BF0EBC">
        <w:rPr>
          <w:rFonts w:ascii="Times New Roman" w:eastAsia="Times New Roman" w:hAnsi="Times New Roman" w:cs="Times New Roman"/>
          <w:color w:val="000000"/>
          <w:sz w:val="24"/>
          <w:szCs w:val="24"/>
        </w:rPr>
        <w:t>dI</w:t>
      </w:r>
      <w:proofErr w:type="spellEnd"/>
      <w:r w:rsidRPr="00BF0EBC">
        <w:rPr>
          <w:rFonts w:ascii="Times New Roman" w:eastAsia="Times New Roman" w:hAnsi="Times New Roman" w:cs="Times New Roman"/>
          <w:color w:val="000000"/>
          <w:sz w:val="24"/>
          <w:szCs w:val="24"/>
        </w:rPr>
        <w:t xml:space="preserve"> was put into similar incubation conditions of tempe</w:t>
      </w:r>
      <w:r w:rsidR="00D74740" w:rsidRPr="00BF0EBC">
        <w:rPr>
          <w:rFonts w:ascii="Times New Roman" w:eastAsia="Times New Roman" w:hAnsi="Times New Roman" w:cs="Times New Roman"/>
          <w:color w:val="000000"/>
          <w:sz w:val="24"/>
          <w:szCs w:val="24"/>
        </w:rPr>
        <w:t>rature, time, and solution</w:t>
      </w:r>
      <w:r w:rsidRPr="00BF0EBC">
        <w:rPr>
          <w:rFonts w:ascii="Times New Roman" w:eastAsia="Times New Roman" w:hAnsi="Times New Roman" w:cs="Times New Roman"/>
          <w:color w:val="000000"/>
          <w:sz w:val="24"/>
          <w:szCs w:val="24"/>
        </w:rPr>
        <w:t xml:space="preserve">. </w:t>
      </w:r>
      <w:r w:rsidR="00D74740" w:rsidRPr="00BF0EBC">
        <w:rPr>
          <w:rFonts w:ascii="Times New Roman" w:eastAsia="Times New Roman" w:hAnsi="Times New Roman" w:cs="Times New Roman"/>
          <w:color w:val="000000"/>
          <w:sz w:val="24"/>
          <w:szCs w:val="24"/>
        </w:rPr>
        <w:t>In these conditions</w:t>
      </w:r>
      <w:r w:rsidRPr="00C70856">
        <w:rPr>
          <w:rFonts w:ascii="Times New Roman" w:eastAsia="Times New Roman" w:hAnsi="Times New Roman" w:cs="Times New Roman"/>
          <w:color w:val="000000"/>
          <w:sz w:val="24"/>
          <w:szCs w:val="24"/>
        </w:rPr>
        <w:t xml:space="preserve">, </w:t>
      </w:r>
      <w:proofErr w:type="spellStart"/>
      <w:r w:rsidRPr="00C70856">
        <w:rPr>
          <w:rFonts w:ascii="Times New Roman" w:eastAsia="Times New Roman" w:hAnsi="Times New Roman" w:cs="Times New Roman"/>
          <w:color w:val="000000"/>
          <w:sz w:val="24"/>
          <w:szCs w:val="24"/>
        </w:rPr>
        <w:t>dI</w:t>
      </w:r>
      <w:proofErr w:type="spellEnd"/>
      <w:r w:rsidRPr="00C70856">
        <w:rPr>
          <w:rFonts w:ascii="Times New Roman" w:eastAsia="Times New Roman" w:hAnsi="Times New Roman" w:cs="Times New Roman"/>
          <w:color w:val="000000"/>
          <w:sz w:val="24"/>
          <w:szCs w:val="24"/>
        </w:rPr>
        <w:t xml:space="preserve"> was also optimally conjugated when cells were treated with 33uM of </w:t>
      </w:r>
      <w:proofErr w:type="spellStart"/>
      <w:r w:rsidRPr="00C70856">
        <w:rPr>
          <w:rFonts w:ascii="Times New Roman" w:eastAsia="Times New Roman" w:hAnsi="Times New Roman" w:cs="Times New Roman"/>
          <w:color w:val="000000"/>
          <w:sz w:val="24"/>
          <w:szCs w:val="24"/>
        </w:rPr>
        <w:t>IdU</w:t>
      </w:r>
      <w:proofErr w:type="spellEnd"/>
      <w:r w:rsidRPr="00C70856">
        <w:rPr>
          <w:rFonts w:ascii="Times New Roman" w:eastAsia="Times New Roman" w:hAnsi="Times New Roman" w:cs="Times New Roman"/>
          <w:color w:val="000000"/>
          <w:sz w:val="24"/>
          <w:szCs w:val="24"/>
        </w:rPr>
        <w:t xml:space="preserve"> and incubated overnight</w:t>
      </w:r>
      <w:r w:rsidR="00D74740" w:rsidRPr="00BF0EBC">
        <w:rPr>
          <w:rFonts w:ascii="Times New Roman" w:eastAsia="Times New Roman" w:hAnsi="Times New Roman" w:cs="Times New Roman"/>
          <w:color w:val="000000"/>
          <w:sz w:val="24"/>
          <w:szCs w:val="24"/>
        </w:rPr>
        <w:t xml:space="preserve">. From the HPLC seen in Figure 6, </w:t>
      </w:r>
      <w:r w:rsidRPr="00BF0EBC">
        <w:rPr>
          <w:rFonts w:ascii="Times New Roman" w:eastAsia="Times New Roman" w:hAnsi="Times New Roman" w:cs="Times New Roman"/>
          <w:color w:val="000000"/>
          <w:sz w:val="24"/>
          <w:szCs w:val="24"/>
        </w:rPr>
        <w:t xml:space="preserve">33uM, </w:t>
      </w:r>
      <w:proofErr w:type="spellStart"/>
      <w:r w:rsidRPr="00BF0EBC">
        <w:rPr>
          <w:rFonts w:ascii="Times New Roman" w:eastAsia="Times New Roman" w:hAnsi="Times New Roman" w:cs="Times New Roman"/>
          <w:color w:val="000000"/>
          <w:sz w:val="24"/>
          <w:szCs w:val="24"/>
        </w:rPr>
        <w:t>dI</w:t>
      </w:r>
      <w:proofErr w:type="spellEnd"/>
      <w:r w:rsidRPr="00BF0EBC">
        <w:rPr>
          <w:rFonts w:ascii="Times New Roman" w:eastAsia="Times New Roman" w:hAnsi="Times New Roman" w:cs="Times New Roman"/>
          <w:color w:val="000000"/>
          <w:sz w:val="24"/>
          <w:szCs w:val="24"/>
        </w:rPr>
        <w:t xml:space="preserve"> DNA had approximately </w:t>
      </w:r>
      <w:r w:rsidR="00C81AF0">
        <w:rPr>
          <w:rFonts w:ascii="Times New Roman" w:eastAsia="Times New Roman" w:hAnsi="Times New Roman" w:cs="Times New Roman"/>
          <w:color w:val="000000"/>
          <w:sz w:val="24"/>
          <w:szCs w:val="24"/>
        </w:rPr>
        <w:t>4.63</w:t>
      </w:r>
      <w:r w:rsidRPr="00BF0EBC">
        <w:rPr>
          <w:rFonts w:ascii="Times New Roman" w:eastAsia="Times New Roman" w:hAnsi="Times New Roman" w:cs="Times New Roman"/>
          <w:color w:val="000000"/>
          <w:sz w:val="24"/>
          <w:szCs w:val="24"/>
        </w:rPr>
        <w:t xml:space="preserve">%, while </w:t>
      </w:r>
      <w:proofErr w:type="spellStart"/>
      <w:r w:rsidRPr="00BF0EBC">
        <w:rPr>
          <w:rFonts w:ascii="Times New Roman" w:eastAsia="Times New Roman" w:hAnsi="Times New Roman" w:cs="Times New Roman"/>
          <w:color w:val="000000"/>
          <w:sz w:val="24"/>
          <w:szCs w:val="24"/>
        </w:rPr>
        <w:t>dI</w:t>
      </w:r>
      <w:proofErr w:type="spellEnd"/>
      <w:r w:rsidRPr="00BF0EBC">
        <w:rPr>
          <w:rFonts w:ascii="Times New Roman" w:eastAsia="Times New Roman" w:hAnsi="Times New Roman" w:cs="Times New Roman"/>
          <w:color w:val="000000"/>
          <w:sz w:val="24"/>
          <w:szCs w:val="24"/>
        </w:rPr>
        <w:t xml:space="preserve"> DNA treated with 100 </w:t>
      </w:r>
      <w:proofErr w:type="spellStart"/>
      <w:r w:rsidRPr="00BF0EBC">
        <w:rPr>
          <w:rFonts w:ascii="Times New Roman" w:eastAsia="Times New Roman" w:hAnsi="Times New Roman" w:cs="Times New Roman"/>
          <w:color w:val="000000"/>
          <w:sz w:val="24"/>
          <w:szCs w:val="24"/>
        </w:rPr>
        <w:t>uM</w:t>
      </w:r>
      <w:proofErr w:type="spellEnd"/>
      <w:r w:rsidRPr="00BF0EBC">
        <w:rPr>
          <w:rFonts w:ascii="Times New Roman" w:eastAsia="Times New Roman" w:hAnsi="Times New Roman" w:cs="Times New Roman"/>
          <w:color w:val="000000"/>
          <w:sz w:val="24"/>
          <w:szCs w:val="24"/>
        </w:rPr>
        <w:t xml:space="preserve"> showed toxic effect and only had </w:t>
      </w:r>
      <w:r w:rsidR="00C05C83">
        <w:rPr>
          <w:rFonts w:ascii="Times New Roman" w:eastAsia="Times New Roman" w:hAnsi="Times New Roman" w:cs="Times New Roman"/>
          <w:color w:val="000000"/>
          <w:sz w:val="24"/>
          <w:szCs w:val="24"/>
        </w:rPr>
        <w:t>2.1</w:t>
      </w:r>
      <w:r w:rsidRPr="00BF0EBC">
        <w:rPr>
          <w:rFonts w:ascii="Times New Roman" w:eastAsia="Times New Roman" w:hAnsi="Times New Roman" w:cs="Times New Roman"/>
          <w:color w:val="000000"/>
          <w:sz w:val="24"/>
          <w:szCs w:val="24"/>
        </w:rPr>
        <w:t>%</w:t>
      </w:r>
      <w:r w:rsidR="00D74740" w:rsidRPr="00BF0EBC">
        <w:rPr>
          <w:rFonts w:ascii="Times New Roman" w:eastAsia="Times New Roman" w:hAnsi="Times New Roman" w:cs="Times New Roman"/>
          <w:color w:val="000000"/>
          <w:sz w:val="24"/>
          <w:szCs w:val="24"/>
        </w:rPr>
        <w:t xml:space="preserve">. Once a stock solution had been created, the 33uM of </w:t>
      </w:r>
      <w:proofErr w:type="spellStart"/>
      <w:r w:rsidR="00D74740" w:rsidRPr="00BF0EBC">
        <w:rPr>
          <w:rFonts w:ascii="Times New Roman" w:eastAsia="Times New Roman" w:hAnsi="Times New Roman" w:cs="Times New Roman"/>
          <w:color w:val="000000"/>
          <w:sz w:val="24"/>
          <w:szCs w:val="24"/>
        </w:rPr>
        <w:t>dI</w:t>
      </w:r>
      <w:proofErr w:type="spellEnd"/>
      <w:r w:rsidR="00D74740" w:rsidRPr="00BF0EBC">
        <w:rPr>
          <w:rFonts w:ascii="Times New Roman" w:eastAsia="Times New Roman" w:hAnsi="Times New Roman" w:cs="Times New Roman"/>
          <w:color w:val="000000"/>
          <w:sz w:val="24"/>
          <w:szCs w:val="24"/>
        </w:rPr>
        <w:t xml:space="preserve"> was treated with both standard and excess glycosylase. </w:t>
      </w:r>
      <w:r w:rsidR="00C70856" w:rsidRPr="00C70856">
        <w:rPr>
          <w:rFonts w:ascii="Times New Roman" w:eastAsia="Times New Roman" w:hAnsi="Times New Roman" w:cs="Times New Roman"/>
          <w:color w:val="000000"/>
          <w:sz w:val="24"/>
          <w:szCs w:val="24"/>
        </w:rPr>
        <w:t xml:space="preserve">The glycosylase used for this experiment was supposed to recognize non-natural nucleotides such as </w:t>
      </w:r>
      <w:proofErr w:type="spellStart"/>
      <w:r w:rsidR="00C70856" w:rsidRPr="00C70856">
        <w:rPr>
          <w:rFonts w:ascii="Times New Roman" w:eastAsia="Times New Roman" w:hAnsi="Times New Roman" w:cs="Times New Roman"/>
          <w:color w:val="000000"/>
          <w:sz w:val="24"/>
          <w:szCs w:val="24"/>
        </w:rPr>
        <w:t>dI</w:t>
      </w:r>
      <w:proofErr w:type="spellEnd"/>
      <w:r w:rsidR="00C70856" w:rsidRPr="00C70856">
        <w:rPr>
          <w:rFonts w:ascii="Times New Roman" w:eastAsia="Times New Roman" w:hAnsi="Times New Roman" w:cs="Times New Roman"/>
          <w:color w:val="000000"/>
          <w:sz w:val="24"/>
          <w:szCs w:val="24"/>
        </w:rPr>
        <w:t>, removing the inosine to create an a-basic site. In both standard conditions and doubled glycosylase with increased incubation time, there was no distinct sign of the creation of an a-basic site</w:t>
      </w:r>
      <w:r w:rsidR="00D74740" w:rsidRPr="00BF0EBC">
        <w:rPr>
          <w:rFonts w:ascii="Times New Roman" w:eastAsia="Times New Roman" w:hAnsi="Times New Roman" w:cs="Times New Roman"/>
          <w:color w:val="000000"/>
          <w:sz w:val="24"/>
          <w:szCs w:val="24"/>
        </w:rPr>
        <w:t xml:space="preserve"> as seen in figur</w:t>
      </w:r>
      <w:r w:rsidR="00BC7B4A" w:rsidRPr="00BF0EBC">
        <w:rPr>
          <w:rFonts w:ascii="Times New Roman" w:eastAsia="Times New Roman" w:hAnsi="Times New Roman" w:cs="Times New Roman"/>
          <w:color w:val="000000"/>
          <w:sz w:val="24"/>
          <w:szCs w:val="24"/>
        </w:rPr>
        <w:t>e 15</w:t>
      </w:r>
      <w:r w:rsidR="00C70856" w:rsidRPr="00C70856">
        <w:rPr>
          <w:rFonts w:ascii="Times New Roman" w:eastAsia="Times New Roman" w:hAnsi="Times New Roman" w:cs="Times New Roman"/>
          <w:color w:val="000000"/>
          <w:sz w:val="24"/>
          <w:szCs w:val="24"/>
        </w:rPr>
        <w:t>.</w:t>
      </w:r>
      <w:r w:rsidR="00D74740" w:rsidRPr="00BF0EBC">
        <w:rPr>
          <w:rFonts w:ascii="Times New Roman" w:eastAsia="Times New Roman" w:hAnsi="Times New Roman" w:cs="Times New Roman"/>
          <w:color w:val="000000"/>
          <w:sz w:val="24"/>
          <w:szCs w:val="24"/>
        </w:rPr>
        <w:t xml:space="preserve"> While a-basic sites were indicated to occur with an additional peak around the 20min marker, as seen in the standard, no additional peaks were seen in glycosylase treated samples. Due to lack of peaks, there is no viable way to determine </w:t>
      </w:r>
      <w:proofErr w:type="gramStart"/>
      <w:r w:rsidR="00D74740" w:rsidRPr="00BF0EBC">
        <w:rPr>
          <w:rFonts w:ascii="Times New Roman" w:eastAsia="Times New Roman" w:hAnsi="Times New Roman" w:cs="Times New Roman"/>
          <w:color w:val="000000"/>
          <w:sz w:val="24"/>
          <w:szCs w:val="24"/>
        </w:rPr>
        <w:t>whether or not</w:t>
      </w:r>
      <w:proofErr w:type="gramEnd"/>
      <w:r w:rsidR="00D74740" w:rsidRPr="00BF0EBC">
        <w:rPr>
          <w:rFonts w:ascii="Times New Roman" w:eastAsia="Times New Roman" w:hAnsi="Times New Roman" w:cs="Times New Roman"/>
          <w:color w:val="000000"/>
          <w:sz w:val="24"/>
          <w:szCs w:val="24"/>
        </w:rPr>
        <w:t xml:space="preserve"> the glycosylase was successful</w:t>
      </w:r>
      <w:r w:rsidR="00C70856" w:rsidRPr="00C70856">
        <w:rPr>
          <w:rFonts w:ascii="Times New Roman" w:eastAsia="Times New Roman" w:hAnsi="Times New Roman" w:cs="Times New Roman"/>
          <w:color w:val="000000"/>
          <w:sz w:val="24"/>
          <w:szCs w:val="24"/>
        </w:rPr>
        <w:t xml:space="preserve"> Therefore, it’s assumed that the glycosylase was unsuccessful in recognizing the </w:t>
      </w:r>
      <w:proofErr w:type="spellStart"/>
      <w:r w:rsidR="00C70856" w:rsidRPr="00C70856">
        <w:rPr>
          <w:rFonts w:ascii="Times New Roman" w:eastAsia="Times New Roman" w:hAnsi="Times New Roman" w:cs="Times New Roman"/>
          <w:color w:val="000000"/>
          <w:sz w:val="24"/>
          <w:szCs w:val="24"/>
        </w:rPr>
        <w:t>dI</w:t>
      </w:r>
      <w:proofErr w:type="spellEnd"/>
      <w:r w:rsidR="00C70856" w:rsidRPr="00C70856">
        <w:rPr>
          <w:rFonts w:ascii="Times New Roman" w:eastAsia="Times New Roman" w:hAnsi="Times New Roman" w:cs="Times New Roman"/>
          <w:color w:val="000000"/>
          <w:sz w:val="24"/>
          <w:szCs w:val="24"/>
        </w:rPr>
        <w:t xml:space="preserve"> and removing it to form </w:t>
      </w:r>
      <w:r w:rsidR="00D74740" w:rsidRPr="00BF0EBC">
        <w:rPr>
          <w:rFonts w:ascii="Times New Roman" w:eastAsia="Times New Roman" w:hAnsi="Times New Roman" w:cs="Times New Roman"/>
          <w:color w:val="000000"/>
          <w:sz w:val="24"/>
          <w:szCs w:val="24"/>
        </w:rPr>
        <w:t>an a-basic</w:t>
      </w:r>
      <w:r w:rsidR="00C70856" w:rsidRPr="00C70856">
        <w:rPr>
          <w:rFonts w:ascii="Times New Roman" w:eastAsia="Times New Roman" w:hAnsi="Times New Roman" w:cs="Times New Roman"/>
          <w:color w:val="000000"/>
          <w:sz w:val="24"/>
          <w:szCs w:val="24"/>
        </w:rPr>
        <w:t xml:space="preserve"> site (Figure 15).</w:t>
      </w:r>
    </w:p>
    <w:p w14:paraId="7E502061" w14:textId="77777777" w:rsidR="00B24008" w:rsidRPr="0074193B" w:rsidRDefault="00B24008" w:rsidP="002F573D">
      <w:pPr>
        <w:pStyle w:val="Heading1"/>
        <w:spacing w:line="276" w:lineRule="auto"/>
        <w:rPr>
          <w:sz w:val="40"/>
          <w:szCs w:val="40"/>
        </w:rPr>
      </w:pPr>
      <w:bookmarkStart w:id="56" w:name="_Toc101972235"/>
      <w:bookmarkStart w:id="57" w:name="_Toc102048567"/>
      <w:r w:rsidRPr="0074193B">
        <w:rPr>
          <w:sz w:val="40"/>
          <w:szCs w:val="40"/>
        </w:rPr>
        <w:lastRenderedPageBreak/>
        <w:t>Discussion</w:t>
      </w:r>
      <w:bookmarkEnd w:id="56"/>
      <w:bookmarkEnd w:id="57"/>
      <w:r w:rsidRPr="0074193B">
        <w:rPr>
          <w:sz w:val="40"/>
          <w:szCs w:val="40"/>
        </w:rPr>
        <w:t> </w:t>
      </w:r>
    </w:p>
    <w:p w14:paraId="327D4B66" w14:textId="0859F948" w:rsidR="002E65B9" w:rsidRDefault="002E65B9" w:rsidP="00587E40">
      <w:pPr>
        <w:spacing w:after="0" w:line="276" w:lineRule="auto"/>
        <w:ind w:firstLine="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applicability of a workflow is both dependent on its effectiveness </w:t>
      </w:r>
      <w:r w:rsidR="00707F58">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z w:val="24"/>
          <w:szCs w:val="24"/>
        </w:rPr>
        <w:t xml:space="preserve"> its usability. While DNA combing is an effective and accurate way to provide single-cell analysis, it’s negated by a high </w:t>
      </w:r>
      <w:r w:rsidR="009E5A2F">
        <w:rPr>
          <w:rFonts w:ascii="Times New Roman" w:eastAsia="Times New Roman" w:hAnsi="Times New Roman" w:cs="Times New Roman"/>
          <w:color w:val="000000"/>
          <w:sz w:val="24"/>
          <w:szCs w:val="24"/>
        </w:rPr>
        <w:t>workload</w:t>
      </w:r>
      <w:r>
        <w:rPr>
          <w:rFonts w:ascii="Times New Roman" w:eastAsia="Times New Roman" w:hAnsi="Times New Roman" w:cs="Times New Roman"/>
          <w:color w:val="000000"/>
          <w:sz w:val="24"/>
          <w:szCs w:val="24"/>
        </w:rPr>
        <w:t xml:space="preserve"> which makes it difficult to use as a consistent method. Creating a more streamlined procedure eases workload of researchers, but also allows for expedited </w:t>
      </w:r>
      <w:r w:rsidR="009E5A2F">
        <w:rPr>
          <w:rFonts w:ascii="Times New Roman" w:eastAsia="Times New Roman" w:hAnsi="Times New Roman" w:cs="Times New Roman"/>
          <w:color w:val="000000"/>
          <w:sz w:val="24"/>
          <w:szCs w:val="24"/>
        </w:rPr>
        <w:t>timelines</w:t>
      </w:r>
      <w:r>
        <w:rPr>
          <w:rFonts w:ascii="Times New Roman" w:eastAsia="Times New Roman" w:hAnsi="Times New Roman" w:cs="Times New Roman"/>
          <w:color w:val="000000"/>
          <w:sz w:val="24"/>
          <w:szCs w:val="24"/>
        </w:rPr>
        <w:t xml:space="preserve"> of data. By creating a usable methodology for ORM, the studying of origins and the kinetics of DNA replication will be more readily studied and applied. </w:t>
      </w:r>
      <w:r w:rsidR="00DD6AEB" w:rsidRPr="00B24008">
        <w:rPr>
          <w:rFonts w:ascii="Times New Roman" w:eastAsia="Times New Roman" w:hAnsi="Times New Roman" w:cs="Times New Roman"/>
          <w:color w:val="000000"/>
          <w:sz w:val="24"/>
          <w:szCs w:val="24"/>
        </w:rPr>
        <w:t>Understanding the phenomenon of origins allows insight into the process of DNA replication, which can be applicable to multiple fields of molecular biology. Creating a usable workflow will allow easier determination and tracking of kinetic properties during different</w:t>
      </w:r>
      <w:r w:rsidR="009E5A2F">
        <w:rPr>
          <w:rFonts w:ascii="Times New Roman" w:eastAsia="Times New Roman" w:hAnsi="Times New Roman" w:cs="Times New Roman"/>
          <w:color w:val="000000"/>
          <w:sz w:val="24"/>
          <w:szCs w:val="24"/>
        </w:rPr>
        <w:t xml:space="preserve"> phases</w:t>
      </w:r>
      <w:r w:rsidR="00DD6AEB" w:rsidRPr="00B24008">
        <w:rPr>
          <w:rFonts w:ascii="Times New Roman" w:eastAsia="Times New Roman" w:hAnsi="Times New Roman" w:cs="Times New Roman"/>
          <w:color w:val="000000"/>
          <w:sz w:val="24"/>
          <w:szCs w:val="24"/>
        </w:rPr>
        <w:t xml:space="preserve">; therefore, identifying </w:t>
      </w:r>
      <w:proofErr w:type="spellStart"/>
      <w:r w:rsidR="00DD6AEB" w:rsidRPr="00B24008">
        <w:rPr>
          <w:rFonts w:ascii="Times New Roman" w:eastAsia="Times New Roman" w:hAnsi="Times New Roman" w:cs="Times New Roman"/>
          <w:color w:val="000000"/>
          <w:sz w:val="24"/>
          <w:szCs w:val="24"/>
        </w:rPr>
        <w:t>VdU</w:t>
      </w:r>
      <w:proofErr w:type="spellEnd"/>
      <w:r w:rsidR="00DD6AEB" w:rsidRPr="00B24008">
        <w:rPr>
          <w:rFonts w:ascii="Times New Roman" w:eastAsia="Times New Roman" w:hAnsi="Times New Roman" w:cs="Times New Roman"/>
          <w:color w:val="000000"/>
          <w:sz w:val="24"/>
          <w:szCs w:val="24"/>
        </w:rPr>
        <w:t xml:space="preserve"> as a possible candidate opens the pathway for studying origins in double-stranded DNA via ORM. </w:t>
      </w:r>
    </w:p>
    <w:p w14:paraId="23F08A0A" w14:textId="77777777" w:rsidR="002E65B9" w:rsidRDefault="002E65B9" w:rsidP="002F573D">
      <w:pPr>
        <w:spacing w:after="0" w:line="276" w:lineRule="auto"/>
        <w:rPr>
          <w:rFonts w:ascii="Times New Roman" w:eastAsia="Times New Roman" w:hAnsi="Times New Roman" w:cs="Times New Roman"/>
          <w:color w:val="000000"/>
          <w:sz w:val="24"/>
          <w:szCs w:val="24"/>
        </w:rPr>
      </w:pPr>
    </w:p>
    <w:p w14:paraId="2715501A" w14:textId="727DD745" w:rsidR="00DD6AEB" w:rsidRPr="009E5A2F" w:rsidRDefault="00B24008" w:rsidP="00587E40">
      <w:pPr>
        <w:spacing w:after="0" w:line="276" w:lineRule="auto"/>
        <w:ind w:firstLine="180"/>
        <w:rPr>
          <w:rFonts w:ascii="Times New Roman" w:eastAsia="Times New Roman" w:hAnsi="Times New Roman" w:cs="Times New Roman"/>
          <w:color w:val="000000"/>
          <w:sz w:val="24"/>
          <w:szCs w:val="24"/>
        </w:rPr>
      </w:pPr>
      <w:r w:rsidRPr="00B24008">
        <w:rPr>
          <w:rFonts w:ascii="Times New Roman" w:eastAsia="Times New Roman" w:hAnsi="Times New Roman" w:cs="Times New Roman"/>
          <w:color w:val="000000"/>
          <w:sz w:val="24"/>
          <w:szCs w:val="24"/>
        </w:rPr>
        <w:t xml:space="preserve">When compared to the literature, </w:t>
      </w:r>
      <w:proofErr w:type="spellStart"/>
      <w:r w:rsidRPr="00B24008">
        <w:rPr>
          <w:rFonts w:ascii="Times New Roman" w:eastAsia="Times New Roman" w:hAnsi="Times New Roman" w:cs="Times New Roman"/>
          <w:color w:val="000000"/>
          <w:sz w:val="24"/>
          <w:szCs w:val="24"/>
        </w:rPr>
        <w:t>VdU</w:t>
      </w:r>
      <w:proofErr w:type="spellEnd"/>
      <w:r w:rsidRPr="00B24008">
        <w:rPr>
          <w:rFonts w:ascii="Times New Roman" w:eastAsia="Times New Roman" w:hAnsi="Times New Roman" w:cs="Times New Roman"/>
          <w:color w:val="000000"/>
          <w:sz w:val="24"/>
          <w:szCs w:val="24"/>
        </w:rPr>
        <w:t xml:space="preserve"> demonstrated to act as it was expected to when incorporated</w:t>
      </w:r>
      <w:r w:rsidRPr="00BF0EBC">
        <w:rPr>
          <w:rFonts w:ascii="Times New Roman" w:eastAsia="Times New Roman" w:hAnsi="Times New Roman" w:cs="Times New Roman"/>
          <w:color w:val="000000"/>
          <w:sz w:val="24"/>
          <w:szCs w:val="24"/>
        </w:rPr>
        <w:t xml:space="preserve"> into double-stranded DNA.</w:t>
      </w:r>
      <w:r w:rsidR="00350E1F">
        <w:rPr>
          <w:rFonts w:ascii="Times New Roman" w:eastAsia="Times New Roman" w:hAnsi="Times New Roman" w:cs="Times New Roman"/>
          <w:color w:val="000000"/>
          <w:sz w:val="24"/>
          <w:szCs w:val="24"/>
        </w:rPr>
        <w:t xml:space="preserve"> </w:t>
      </w:r>
      <w:r w:rsidRPr="00B24008">
        <w:rPr>
          <w:rFonts w:ascii="Times New Roman" w:eastAsia="Times New Roman" w:hAnsi="Times New Roman" w:cs="Times New Roman"/>
          <w:color w:val="000000"/>
          <w:sz w:val="24"/>
          <w:szCs w:val="24"/>
        </w:rPr>
        <w:t xml:space="preserve">In the study, </w:t>
      </w:r>
      <w:proofErr w:type="spellStart"/>
      <w:r w:rsidRPr="00B24008">
        <w:rPr>
          <w:rFonts w:ascii="Times New Roman" w:eastAsia="Times New Roman" w:hAnsi="Times New Roman" w:cs="Times New Roman"/>
          <w:color w:val="000000"/>
          <w:sz w:val="24"/>
          <w:szCs w:val="24"/>
        </w:rPr>
        <w:t>VdU</w:t>
      </w:r>
      <w:proofErr w:type="spellEnd"/>
      <w:r w:rsidRPr="00B24008">
        <w:rPr>
          <w:rFonts w:ascii="Times New Roman" w:eastAsia="Times New Roman" w:hAnsi="Times New Roman" w:cs="Times New Roman"/>
          <w:color w:val="000000"/>
          <w:sz w:val="24"/>
          <w:szCs w:val="24"/>
        </w:rPr>
        <w:t xml:space="preserve"> performed similarly to </w:t>
      </w:r>
      <w:proofErr w:type="spellStart"/>
      <w:r w:rsidRPr="00B24008">
        <w:rPr>
          <w:rFonts w:ascii="Times New Roman" w:eastAsia="Times New Roman" w:hAnsi="Times New Roman" w:cs="Times New Roman"/>
          <w:color w:val="000000"/>
          <w:sz w:val="24"/>
          <w:szCs w:val="24"/>
        </w:rPr>
        <w:t>BrdU</w:t>
      </w:r>
      <w:proofErr w:type="spellEnd"/>
      <w:r w:rsidRPr="00B24008">
        <w:rPr>
          <w:rFonts w:ascii="Times New Roman" w:eastAsia="Times New Roman" w:hAnsi="Times New Roman" w:cs="Times New Roman"/>
          <w:color w:val="000000"/>
          <w:sz w:val="24"/>
          <w:szCs w:val="24"/>
        </w:rPr>
        <w:t xml:space="preserve">, which is within logical reasoning since </w:t>
      </w:r>
      <w:proofErr w:type="spellStart"/>
      <w:r w:rsidRPr="00B24008">
        <w:rPr>
          <w:rFonts w:ascii="Times New Roman" w:eastAsia="Times New Roman" w:hAnsi="Times New Roman" w:cs="Times New Roman"/>
          <w:color w:val="000000"/>
          <w:sz w:val="24"/>
          <w:szCs w:val="24"/>
        </w:rPr>
        <w:t>VdU</w:t>
      </w:r>
      <w:proofErr w:type="spellEnd"/>
      <w:r w:rsidRPr="00B24008">
        <w:rPr>
          <w:rFonts w:ascii="Times New Roman" w:eastAsia="Times New Roman" w:hAnsi="Times New Roman" w:cs="Times New Roman"/>
          <w:color w:val="000000"/>
          <w:sz w:val="24"/>
          <w:szCs w:val="24"/>
        </w:rPr>
        <w:t xml:space="preserve"> is commonly used as a replacement for </w:t>
      </w:r>
      <w:proofErr w:type="spellStart"/>
      <w:r w:rsidRPr="00B24008">
        <w:rPr>
          <w:rFonts w:ascii="Times New Roman" w:eastAsia="Times New Roman" w:hAnsi="Times New Roman" w:cs="Times New Roman"/>
          <w:color w:val="000000"/>
          <w:sz w:val="24"/>
          <w:szCs w:val="24"/>
        </w:rPr>
        <w:t>BrdU</w:t>
      </w:r>
      <w:proofErr w:type="spellEnd"/>
      <w:r w:rsidRPr="00B24008">
        <w:rPr>
          <w:rFonts w:ascii="Times New Roman" w:eastAsia="Times New Roman" w:hAnsi="Times New Roman" w:cs="Times New Roman"/>
          <w:color w:val="000000"/>
          <w:sz w:val="24"/>
          <w:szCs w:val="24"/>
        </w:rPr>
        <w:t xml:space="preserve"> in measuring de novo DNA synthesis. </w:t>
      </w:r>
      <w:r w:rsidR="00350E1F">
        <w:rPr>
          <w:rFonts w:ascii="Times New Roman" w:eastAsia="Times New Roman" w:hAnsi="Times New Roman" w:cs="Times New Roman"/>
          <w:color w:val="000000"/>
          <w:sz w:val="24"/>
          <w:szCs w:val="24"/>
        </w:rPr>
        <w:t xml:space="preserve">The consistency of </w:t>
      </w:r>
      <w:proofErr w:type="spellStart"/>
      <w:r w:rsidR="00350E1F">
        <w:rPr>
          <w:rFonts w:ascii="Times New Roman" w:eastAsia="Times New Roman" w:hAnsi="Times New Roman" w:cs="Times New Roman"/>
          <w:color w:val="000000"/>
          <w:sz w:val="24"/>
          <w:szCs w:val="24"/>
        </w:rPr>
        <w:t>VdU</w:t>
      </w:r>
      <w:proofErr w:type="spellEnd"/>
      <w:r w:rsidR="00350E1F">
        <w:rPr>
          <w:rFonts w:ascii="Times New Roman" w:eastAsia="Times New Roman" w:hAnsi="Times New Roman" w:cs="Times New Roman"/>
          <w:color w:val="000000"/>
          <w:sz w:val="24"/>
          <w:szCs w:val="24"/>
        </w:rPr>
        <w:t xml:space="preserve">, in addition to it easily being easily </w:t>
      </w:r>
      <w:proofErr w:type="spellStart"/>
      <w:r w:rsidR="00350E1F">
        <w:rPr>
          <w:rFonts w:ascii="Times New Roman" w:eastAsia="Times New Roman" w:hAnsi="Times New Roman" w:cs="Times New Roman"/>
          <w:color w:val="000000"/>
          <w:sz w:val="24"/>
          <w:szCs w:val="24"/>
        </w:rPr>
        <w:t>uptaken</w:t>
      </w:r>
      <w:proofErr w:type="spellEnd"/>
      <w:r w:rsidR="00350E1F">
        <w:rPr>
          <w:rFonts w:ascii="Times New Roman" w:eastAsia="Times New Roman" w:hAnsi="Times New Roman" w:cs="Times New Roman"/>
          <w:color w:val="000000"/>
          <w:sz w:val="24"/>
          <w:szCs w:val="24"/>
        </w:rPr>
        <w:t xml:space="preserve"> by </w:t>
      </w:r>
      <w:r w:rsidRPr="00B24008">
        <w:rPr>
          <w:rFonts w:ascii="Times New Roman" w:eastAsia="Times New Roman" w:hAnsi="Times New Roman" w:cs="Times New Roman"/>
          <w:color w:val="000000"/>
          <w:sz w:val="24"/>
          <w:szCs w:val="24"/>
        </w:rPr>
        <w:t>the cells without exhibiting excess toxic or negative morphological effects to yeast cells lines</w:t>
      </w:r>
      <w:r w:rsidR="00350E1F">
        <w:rPr>
          <w:rFonts w:ascii="Times New Roman" w:eastAsia="Times New Roman" w:hAnsi="Times New Roman" w:cs="Times New Roman"/>
          <w:color w:val="000000"/>
          <w:sz w:val="24"/>
          <w:szCs w:val="24"/>
        </w:rPr>
        <w:t xml:space="preserve"> identified it as candidate for ongoing experimentation</w:t>
      </w:r>
      <w:r w:rsidRPr="00B24008">
        <w:rPr>
          <w:rFonts w:ascii="Times New Roman" w:eastAsia="Times New Roman" w:hAnsi="Times New Roman" w:cs="Times New Roman"/>
          <w:color w:val="000000"/>
          <w:sz w:val="24"/>
          <w:szCs w:val="24"/>
        </w:rPr>
        <w:t xml:space="preserve">. Easy uptake is due to the analogs' natural resemblance to thymidine, which is recognized by the cell and incorporated in cellular synthesis through replication. This differentiates from other potentially used analogs such as </w:t>
      </w:r>
      <w:proofErr w:type="spellStart"/>
      <w:r w:rsidRPr="00B24008">
        <w:rPr>
          <w:rFonts w:ascii="Times New Roman" w:eastAsia="Times New Roman" w:hAnsi="Times New Roman" w:cs="Times New Roman"/>
          <w:color w:val="000000"/>
          <w:sz w:val="24"/>
          <w:szCs w:val="24"/>
        </w:rPr>
        <w:t>AmdU</w:t>
      </w:r>
      <w:proofErr w:type="spellEnd"/>
      <w:r w:rsidRPr="00B24008">
        <w:rPr>
          <w:rFonts w:ascii="Times New Roman" w:eastAsia="Times New Roman" w:hAnsi="Times New Roman" w:cs="Times New Roman"/>
          <w:color w:val="000000"/>
          <w:sz w:val="24"/>
          <w:szCs w:val="24"/>
        </w:rPr>
        <w:t xml:space="preserve"> which was likely not naturally </w:t>
      </w:r>
      <w:proofErr w:type="spellStart"/>
      <w:r w:rsidRPr="00B24008">
        <w:rPr>
          <w:rFonts w:ascii="Times New Roman" w:eastAsia="Times New Roman" w:hAnsi="Times New Roman" w:cs="Times New Roman"/>
          <w:color w:val="000000"/>
          <w:sz w:val="24"/>
          <w:szCs w:val="24"/>
        </w:rPr>
        <w:t>uptaken</w:t>
      </w:r>
      <w:proofErr w:type="spellEnd"/>
      <w:r w:rsidRPr="00B24008">
        <w:rPr>
          <w:rFonts w:ascii="Times New Roman" w:eastAsia="Times New Roman" w:hAnsi="Times New Roman" w:cs="Times New Roman"/>
          <w:color w:val="000000"/>
          <w:sz w:val="24"/>
          <w:szCs w:val="24"/>
        </w:rPr>
        <w:t xml:space="preserve"> by the cells due to its need for cellular polymerases, such as </w:t>
      </w:r>
      <w:proofErr w:type="spellStart"/>
      <w:r w:rsidRPr="00B24008">
        <w:rPr>
          <w:rFonts w:ascii="Times New Roman" w:eastAsia="Times New Roman" w:hAnsi="Times New Roman" w:cs="Times New Roman"/>
          <w:color w:val="000000"/>
          <w:sz w:val="24"/>
          <w:szCs w:val="24"/>
        </w:rPr>
        <w:t>spAAC</w:t>
      </w:r>
      <w:proofErr w:type="spellEnd"/>
      <w:r w:rsidRPr="00B24008">
        <w:rPr>
          <w:rFonts w:ascii="Times New Roman" w:eastAsia="Times New Roman" w:hAnsi="Times New Roman" w:cs="Times New Roman"/>
          <w:color w:val="000000"/>
          <w:sz w:val="24"/>
          <w:szCs w:val="24"/>
        </w:rPr>
        <w:t xml:space="preserve"> Click Chemistry with strained cycloalkenes to react and be </w:t>
      </w:r>
      <w:r w:rsidR="00DD6AEB" w:rsidRPr="00B24008">
        <w:rPr>
          <w:rFonts w:ascii="Times New Roman" w:eastAsia="Times New Roman" w:hAnsi="Times New Roman" w:cs="Times New Roman"/>
          <w:color w:val="000000"/>
          <w:sz w:val="24"/>
          <w:szCs w:val="24"/>
        </w:rPr>
        <w:t>uptake</w:t>
      </w:r>
      <w:r w:rsidRPr="00B24008">
        <w:rPr>
          <w:rFonts w:ascii="Times New Roman" w:eastAsia="Times New Roman" w:hAnsi="Times New Roman" w:cs="Times New Roman"/>
          <w:color w:val="000000"/>
          <w:sz w:val="24"/>
          <w:szCs w:val="24"/>
        </w:rPr>
        <w:t xml:space="preserve">. While this does allow for </w:t>
      </w:r>
      <w:proofErr w:type="spellStart"/>
      <w:r w:rsidRPr="00B24008">
        <w:rPr>
          <w:rFonts w:ascii="Times New Roman" w:eastAsia="Times New Roman" w:hAnsi="Times New Roman" w:cs="Times New Roman"/>
          <w:color w:val="000000"/>
          <w:sz w:val="24"/>
          <w:szCs w:val="24"/>
        </w:rPr>
        <w:t>AmdU</w:t>
      </w:r>
      <w:proofErr w:type="spellEnd"/>
      <w:r w:rsidRPr="00B24008">
        <w:rPr>
          <w:rFonts w:ascii="Times New Roman" w:eastAsia="Times New Roman" w:hAnsi="Times New Roman" w:cs="Times New Roman"/>
          <w:color w:val="000000"/>
          <w:sz w:val="24"/>
          <w:szCs w:val="24"/>
        </w:rPr>
        <w:t xml:space="preserve"> to react in copper-free conditions, it does limit its utilization in this study</w:t>
      </w:r>
      <w:r w:rsidR="00350E1F">
        <w:rPr>
          <w:rFonts w:ascii="Times New Roman" w:eastAsia="Times New Roman" w:hAnsi="Times New Roman" w:cs="Times New Roman"/>
          <w:color w:val="000000"/>
          <w:sz w:val="24"/>
          <w:szCs w:val="24"/>
        </w:rPr>
        <w:t xml:space="preserve">, which is why it was eliminated earlier on. </w:t>
      </w:r>
    </w:p>
    <w:p w14:paraId="5B2323F1" w14:textId="77777777" w:rsidR="00B24008" w:rsidRPr="00B24008" w:rsidRDefault="00B24008" w:rsidP="002F573D">
      <w:pPr>
        <w:spacing w:after="0" w:line="276" w:lineRule="auto"/>
        <w:rPr>
          <w:rFonts w:ascii="Times New Roman" w:eastAsia="Times New Roman" w:hAnsi="Times New Roman" w:cs="Times New Roman"/>
          <w:sz w:val="28"/>
          <w:szCs w:val="28"/>
        </w:rPr>
      </w:pPr>
    </w:p>
    <w:p w14:paraId="6010A090" w14:textId="33CC1477" w:rsidR="00B24008" w:rsidRDefault="00B24008" w:rsidP="00587E40">
      <w:pPr>
        <w:spacing w:after="0" w:line="276" w:lineRule="auto"/>
        <w:ind w:firstLine="90"/>
        <w:rPr>
          <w:rFonts w:ascii="Times New Roman" w:eastAsia="Times New Roman" w:hAnsi="Times New Roman" w:cs="Times New Roman"/>
          <w:color w:val="000000"/>
          <w:sz w:val="24"/>
          <w:szCs w:val="24"/>
        </w:rPr>
      </w:pPr>
      <w:r w:rsidRPr="00B24008">
        <w:rPr>
          <w:rFonts w:ascii="Times New Roman" w:eastAsia="Times New Roman" w:hAnsi="Times New Roman" w:cs="Times New Roman"/>
          <w:color w:val="000000"/>
          <w:sz w:val="24"/>
          <w:szCs w:val="24"/>
        </w:rPr>
        <w:t xml:space="preserve">The ideal concentration from the yeast studies was demonstrated to be 33uM, which was similarly replicated when switching to HeLa cells. The ideal incubation time and conditions were selected based on the cell's overall ability to uptake cells and have a high survival rating. The timing of incubation was determined to have the highest impact factor over solvent conditions, where cells </w:t>
      </w:r>
      <w:r w:rsidR="009E5A2F">
        <w:rPr>
          <w:rFonts w:ascii="Times New Roman" w:eastAsia="Times New Roman" w:hAnsi="Times New Roman" w:cs="Times New Roman"/>
          <w:color w:val="000000"/>
          <w:sz w:val="24"/>
          <w:szCs w:val="24"/>
        </w:rPr>
        <w:t>tripled</w:t>
      </w:r>
      <w:r w:rsidRPr="00B24008">
        <w:rPr>
          <w:rFonts w:ascii="Times New Roman" w:eastAsia="Times New Roman" w:hAnsi="Times New Roman" w:cs="Times New Roman"/>
          <w:color w:val="000000"/>
          <w:sz w:val="24"/>
          <w:szCs w:val="24"/>
        </w:rPr>
        <w:t xml:space="preserve"> </w:t>
      </w:r>
      <w:proofErr w:type="spellStart"/>
      <w:r w:rsidRPr="00B24008">
        <w:rPr>
          <w:rFonts w:ascii="Times New Roman" w:eastAsia="Times New Roman" w:hAnsi="Times New Roman" w:cs="Times New Roman"/>
          <w:color w:val="000000"/>
          <w:sz w:val="24"/>
          <w:szCs w:val="24"/>
        </w:rPr>
        <w:t>VdU</w:t>
      </w:r>
      <w:proofErr w:type="spellEnd"/>
      <w:r w:rsidRPr="00B24008">
        <w:rPr>
          <w:rFonts w:ascii="Times New Roman" w:eastAsia="Times New Roman" w:hAnsi="Times New Roman" w:cs="Times New Roman"/>
          <w:color w:val="000000"/>
          <w:sz w:val="24"/>
          <w:szCs w:val="24"/>
        </w:rPr>
        <w:t xml:space="preserve"> incorporation when incubated at 24hrs</w:t>
      </w:r>
      <w:r w:rsidR="009E5A2F">
        <w:rPr>
          <w:rFonts w:ascii="Times New Roman" w:eastAsia="Times New Roman" w:hAnsi="Times New Roman" w:cs="Times New Roman"/>
          <w:color w:val="000000"/>
          <w:sz w:val="24"/>
          <w:szCs w:val="24"/>
        </w:rPr>
        <w:t xml:space="preserve"> in standard temperature. To perform analysis of </w:t>
      </w:r>
      <w:proofErr w:type="spellStart"/>
      <w:r w:rsidR="009E5A2F">
        <w:rPr>
          <w:rFonts w:ascii="Times New Roman" w:eastAsia="Times New Roman" w:hAnsi="Times New Roman" w:cs="Times New Roman"/>
          <w:color w:val="000000"/>
          <w:sz w:val="24"/>
          <w:szCs w:val="24"/>
        </w:rPr>
        <w:t>VdU</w:t>
      </w:r>
      <w:proofErr w:type="spellEnd"/>
      <w:r w:rsidR="009E5A2F">
        <w:rPr>
          <w:rFonts w:ascii="Times New Roman" w:eastAsia="Times New Roman" w:hAnsi="Times New Roman" w:cs="Times New Roman"/>
          <w:color w:val="000000"/>
          <w:sz w:val="24"/>
          <w:szCs w:val="24"/>
        </w:rPr>
        <w:t xml:space="preserve"> incorporation, samples were run on HPLC</w:t>
      </w:r>
      <w:r w:rsidR="00777006">
        <w:rPr>
          <w:rFonts w:ascii="Times New Roman" w:eastAsia="Times New Roman" w:hAnsi="Times New Roman" w:cs="Times New Roman"/>
          <w:color w:val="000000"/>
          <w:sz w:val="24"/>
          <w:szCs w:val="24"/>
        </w:rPr>
        <w:t xml:space="preserve"> after being treated with snake venom enzyme to break this down to single-nucleotide form. This was essential because HPLC is unable to read entire double-stranded DNA, so the enzyme was needed to break it down to a readable form. Also, the enzyme also allowed for decreased RNA contamination which was problematic during this study. To eliminate RNA contamination to workable amount, factors such as RNASE/proteinase K during purification, </w:t>
      </w:r>
      <w:proofErr w:type="spellStart"/>
      <w:r w:rsidR="00777006">
        <w:rPr>
          <w:rFonts w:ascii="Times New Roman" w:eastAsia="Times New Roman" w:hAnsi="Times New Roman" w:cs="Times New Roman"/>
          <w:color w:val="000000"/>
          <w:sz w:val="24"/>
          <w:szCs w:val="24"/>
        </w:rPr>
        <w:t>Amicon</w:t>
      </w:r>
      <w:proofErr w:type="spellEnd"/>
      <w:r w:rsidR="00777006">
        <w:rPr>
          <w:rFonts w:ascii="Times New Roman" w:eastAsia="Times New Roman" w:hAnsi="Times New Roman" w:cs="Times New Roman"/>
          <w:color w:val="000000"/>
          <w:sz w:val="24"/>
          <w:szCs w:val="24"/>
        </w:rPr>
        <w:t xml:space="preserve"> washes before digestion, and digestion time proved to have impact. The methodology as described is the optimal workflow found that allows for accurate </w:t>
      </w:r>
      <w:proofErr w:type="spellStart"/>
      <w:r w:rsidR="00777006">
        <w:rPr>
          <w:rFonts w:ascii="Times New Roman" w:eastAsia="Times New Roman" w:hAnsi="Times New Roman" w:cs="Times New Roman"/>
          <w:color w:val="000000"/>
          <w:sz w:val="24"/>
          <w:szCs w:val="24"/>
        </w:rPr>
        <w:t>VdU</w:t>
      </w:r>
      <w:proofErr w:type="spellEnd"/>
      <w:r w:rsidR="00777006">
        <w:rPr>
          <w:rFonts w:ascii="Times New Roman" w:eastAsia="Times New Roman" w:hAnsi="Times New Roman" w:cs="Times New Roman"/>
          <w:color w:val="000000"/>
          <w:sz w:val="24"/>
          <w:szCs w:val="24"/>
        </w:rPr>
        <w:t xml:space="preserve"> incorporation calculation with decrease RNA contamination. </w:t>
      </w:r>
    </w:p>
    <w:p w14:paraId="5386780C" w14:textId="68B842C4" w:rsidR="009E5A2F" w:rsidRDefault="009E5A2F" w:rsidP="002F573D">
      <w:pPr>
        <w:spacing w:after="0" w:line="276" w:lineRule="auto"/>
        <w:rPr>
          <w:rFonts w:ascii="Times New Roman" w:eastAsia="Times New Roman" w:hAnsi="Times New Roman" w:cs="Times New Roman"/>
          <w:color w:val="000000"/>
          <w:sz w:val="24"/>
          <w:szCs w:val="24"/>
        </w:rPr>
      </w:pPr>
    </w:p>
    <w:p w14:paraId="4DD80AE1" w14:textId="77777777" w:rsidR="00777006" w:rsidRDefault="00777006" w:rsidP="002F573D">
      <w:pPr>
        <w:spacing w:after="0" w:line="276" w:lineRule="auto"/>
        <w:rPr>
          <w:rFonts w:ascii="Times New Roman" w:eastAsia="Times New Roman" w:hAnsi="Times New Roman" w:cs="Times New Roman"/>
          <w:color w:val="000000"/>
          <w:sz w:val="24"/>
          <w:szCs w:val="24"/>
        </w:rPr>
      </w:pPr>
    </w:p>
    <w:p w14:paraId="47301658" w14:textId="491EE913" w:rsidR="00D14231" w:rsidRDefault="00777006" w:rsidP="00587E40">
      <w:pPr>
        <w:spacing w:after="0" w:line="276" w:lineRule="auto"/>
        <w:ind w:firstLine="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During this study, signs of conjugation of </w:t>
      </w:r>
      <w:proofErr w:type="spellStart"/>
      <w:r>
        <w:rPr>
          <w:rFonts w:ascii="Times New Roman" w:eastAsia="Times New Roman" w:hAnsi="Times New Roman" w:cs="Times New Roman"/>
          <w:color w:val="000000"/>
          <w:sz w:val="24"/>
          <w:szCs w:val="24"/>
        </w:rPr>
        <w:t>VdU</w:t>
      </w:r>
      <w:proofErr w:type="spellEnd"/>
      <w:r>
        <w:rPr>
          <w:rFonts w:ascii="Times New Roman" w:eastAsia="Times New Roman" w:hAnsi="Times New Roman" w:cs="Times New Roman"/>
          <w:color w:val="000000"/>
          <w:sz w:val="24"/>
          <w:szCs w:val="24"/>
        </w:rPr>
        <w:t xml:space="preserve"> to a fluorescent dye was only detected in</w:t>
      </w:r>
      <w:r w:rsidR="00D14231">
        <w:rPr>
          <w:rFonts w:ascii="Times New Roman" w:eastAsia="Times New Roman" w:hAnsi="Times New Roman" w:cs="Times New Roman"/>
          <w:color w:val="000000"/>
          <w:sz w:val="24"/>
          <w:szCs w:val="24"/>
        </w:rPr>
        <w:t xml:space="preserve"> non-incorporated </w:t>
      </w:r>
      <w:proofErr w:type="spellStart"/>
      <w:r w:rsidR="00D14231">
        <w:rPr>
          <w:rFonts w:ascii="Times New Roman" w:eastAsia="Times New Roman" w:hAnsi="Times New Roman" w:cs="Times New Roman"/>
          <w:color w:val="000000"/>
          <w:sz w:val="24"/>
          <w:szCs w:val="24"/>
        </w:rPr>
        <w:t>VdU</w:t>
      </w:r>
      <w:proofErr w:type="spellEnd"/>
      <w:r w:rsidR="00D14231">
        <w:rPr>
          <w:rFonts w:ascii="Times New Roman" w:eastAsia="Times New Roman" w:hAnsi="Times New Roman" w:cs="Times New Roman"/>
          <w:color w:val="000000"/>
          <w:sz w:val="24"/>
          <w:szCs w:val="24"/>
        </w:rPr>
        <w:t xml:space="preserve"> nucleoside. </w:t>
      </w:r>
      <w:r w:rsidRPr="00B24008">
        <w:rPr>
          <w:rFonts w:ascii="Times New Roman" w:eastAsia="Times New Roman" w:hAnsi="Times New Roman" w:cs="Times New Roman"/>
          <w:color w:val="000000"/>
          <w:sz w:val="24"/>
          <w:szCs w:val="24"/>
        </w:rPr>
        <w:t xml:space="preserve">Stand-alone nucleoside </w:t>
      </w:r>
      <w:proofErr w:type="spellStart"/>
      <w:r w:rsidRPr="00B24008">
        <w:rPr>
          <w:rFonts w:ascii="Times New Roman" w:eastAsia="Times New Roman" w:hAnsi="Times New Roman" w:cs="Times New Roman"/>
          <w:color w:val="000000"/>
          <w:sz w:val="24"/>
          <w:szCs w:val="24"/>
        </w:rPr>
        <w:t>VdU</w:t>
      </w:r>
      <w:proofErr w:type="spellEnd"/>
      <w:r w:rsidRPr="00B24008">
        <w:rPr>
          <w:rFonts w:ascii="Times New Roman" w:eastAsia="Times New Roman" w:hAnsi="Times New Roman" w:cs="Times New Roman"/>
          <w:color w:val="000000"/>
          <w:sz w:val="24"/>
          <w:szCs w:val="24"/>
        </w:rPr>
        <w:t xml:space="preserve"> was demonstrated to have potential conjugation with FAM-Maleimide labels in 1:1 DMSO to water, indicated by overall decrease of 93% of </w:t>
      </w:r>
      <w:proofErr w:type="spellStart"/>
      <w:r w:rsidRPr="00B24008">
        <w:rPr>
          <w:rFonts w:ascii="Times New Roman" w:eastAsia="Times New Roman" w:hAnsi="Times New Roman" w:cs="Times New Roman"/>
          <w:color w:val="000000"/>
          <w:sz w:val="24"/>
          <w:szCs w:val="24"/>
        </w:rPr>
        <w:t>VdU</w:t>
      </w:r>
      <w:proofErr w:type="spellEnd"/>
      <w:r w:rsidRPr="00B24008">
        <w:rPr>
          <w:rFonts w:ascii="Times New Roman" w:eastAsia="Times New Roman" w:hAnsi="Times New Roman" w:cs="Times New Roman"/>
          <w:color w:val="000000"/>
          <w:sz w:val="24"/>
          <w:szCs w:val="24"/>
        </w:rPr>
        <w:t xml:space="preserve"> from the control. </w:t>
      </w:r>
      <w:r w:rsidR="00B24008" w:rsidRPr="00B24008">
        <w:rPr>
          <w:rFonts w:ascii="Times New Roman" w:eastAsia="Times New Roman" w:hAnsi="Times New Roman" w:cs="Times New Roman"/>
          <w:color w:val="000000"/>
          <w:sz w:val="24"/>
          <w:szCs w:val="24"/>
        </w:rPr>
        <w:t xml:space="preserve">This was similarly seen with TAMRA-Tetrazine when treated in the same condition of 1:1 DMSO to water, however, incorporation was not as significant. Solvent conditions were extremely important when attaching fluorophores since the fluorophores proved to be both pH and </w:t>
      </w:r>
      <w:r w:rsidR="00D14231" w:rsidRPr="00B24008">
        <w:rPr>
          <w:rFonts w:ascii="Times New Roman" w:eastAsia="Times New Roman" w:hAnsi="Times New Roman" w:cs="Times New Roman"/>
          <w:color w:val="000000"/>
          <w:sz w:val="24"/>
          <w:szCs w:val="24"/>
        </w:rPr>
        <w:t>solvent dependent</w:t>
      </w:r>
      <w:r w:rsidR="00B24008" w:rsidRPr="00B24008">
        <w:rPr>
          <w:rFonts w:ascii="Times New Roman" w:eastAsia="Times New Roman" w:hAnsi="Times New Roman" w:cs="Times New Roman"/>
          <w:color w:val="000000"/>
          <w:sz w:val="24"/>
          <w:szCs w:val="24"/>
        </w:rPr>
        <w:t xml:space="preserve">. The condition of 1:1 DMSO to water proved to be the only condition where there were signs of conjugation, with additional fluorescence of the fluorophore in the nucleoside form. </w:t>
      </w:r>
      <w:r w:rsidR="00D14231">
        <w:rPr>
          <w:rFonts w:ascii="Times New Roman" w:eastAsia="Times New Roman" w:hAnsi="Times New Roman" w:cs="Times New Roman"/>
          <w:color w:val="000000"/>
          <w:sz w:val="24"/>
          <w:szCs w:val="24"/>
        </w:rPr>
        <w:t xml:space="preserve">It should be noted that assumption of conjugation is assumed by creation of a peak and fluorescence only; further identification of the conjugate should be assessed via mass spec before sending samples for ORM </w:t>
      </w:r>
    </w:p>
    <w:p w14:paraId="0F49C8C9" w14:textId="77777777" w:rsidR="00D14231" w:rsidRDefault="00D14231" w:rsidP="002F573D">
      <w:pPr>
        <w:spacing w:after="0" w:line="276" w:lineRule="auto"/>
        <w:rPr>
          <w:rFonts w:ascii="Times New Roman" w:eastAsia="Times New Roman" w:hAnsi="Times New Roman" w:cs="Times New Roman"/>
          <w:color w:val="000000"/>
          <w:sz w:val="24"/>
          <w:szCs w:val="24"/>
        </w:rPr>
      </w:pPr>
    </w:p>
    <w:p w14:paraId="5F1E2AD8" w14:textId="36EEAAFF" w:rsidR="00011F28" w:rsidRDefault="00B24008" w:rsidP="00587E40">
      <w:pPr>
        <w:spacing w:after="0" w:line="276" w:lineRule="auto"/>
        <w:ind w:firstLine="180"/>
        <w:rPr>
          <w:rFonts w:ascii="Times New Roman" w:eastAsia="Times New Roman" w:hAnsi="Times New Roman" w:cs="Times New Roman"/>
          <w:color w:val="000000"/>
          <w:sz w:val="24"/>
          <w:szCs w:val="24"/>
        </w:rPr>
      </w:pPr>
      <w:r w:rsidRPr="00B24008">
        <w:rPr>
          <w:rFonts w:ascii="Times New Roman" w:eastAsia="Times New Roman" w:hAnsi="Times New Roman" w:cs="Times New Roman"/>
          <w:color w:val="000000"/>
          <w:sz w:val="24"/>
          <w:szCs w:val="24"/>
        </w:rPr>
        <w:t>Other conditions did not show significant signs of conjugation but also suppressed the fluorescent capacities of the dyes. This is likely due to un-ideal pH conditions, which</w:t>
      </w:r>
      <w:r w:rsidR="00D14231">
        <w:rPr>
          <w:rFonts w:ascii="Times New Roman" w:eastAsia="Times New Roman" w:hAnsi="Times New Roman" w:cs="Times New Roman"/>
          <w:color w:val="000000"/>
          <w:sz w:val="24"/>
          <w:szCs w:val="24"/>
        </w:rPr>
        <w:t xml:space="preserve"> could</w:t>
      </w:r>
      <w:r w:rsidRPr="00B24008">
        <w:rPr>
          <w:rFonts w:ascii="Times New Roman" w:eastAsia="Times New Roman" w:hAnsi="Times New Roman" w:cs="Times New Roman"/>
          <w:color w:val="000000"/>
          <w:sz w:val="24"/>
          <w:szCs w:val="24"/>
        </w:rPr>
        <w:t xml:space="preserve"> cause deprotonation of the fluorophore. When these conditions were applied to </w:t>
      </w:r>
      <w:proofErr w:type="spellStart"/>
      <w:r w:rsidRPr="00B24008">
        <w:rPr>
          <w:rFonts w:ascii="Times New Roman" w:eastAsia="Times New Roman" w:hAnsi="Times New Roman" w:cs="Times New Roman"/>
          <w:color w:val="000000"/>
          <w:sz w:val="24"/>
          <w:szCs w:val="24"/>
        </w:rPr>
        <w:t>VdU</w:t>
      </w:r>
      <w:proofErr w:type="spellEnd"/>
      <w:r w:rsidRPr="00B24008">
        <w:rPr>
          <w:rFonts w:ascii="Times New Roman" w:eastAsia="Times New Roman" w:hAnsi="Times New Roman" w:cs="Times New Roman"/>
          <w:color w:val="000000"/>
          <w:sz w:val="24"/>
          <w:szCs w:val="24"/>
        </w:rPr>
        <w:t xml:space="preserve"> incorporated DNA</w:t>
      </w:r>
      <w:r w:rsidR="00D14231">
        <w:rPr>
          <w:rFonts w:ascii="Times New Roman" w:eastAsia="Times New Roman" w:hAnsi="Times New Roman" w:cs="Times New Roman"/>
          <w:color w:val="000000"/>
          <w:sz w:val="24"/>
          <w:szCs w:val="24"/>
        </w:rPr>
        <w:t xml:space="preserve"> and stand-alone nucleotide</w:t>
      </w:r>
      <w:r w:rsidRPr="00B24008">
        <w:rPr>
          <w:rFonts w:ascii="Times New Roman" w:eastAsia="Times New Roman" w:hAnsi="Times New Roman" w:cs="Times New Roman"/>
          <w:color w:val="000000"/>
          <w:sz w:val="24"/>
          <w:szCs w:val="24"/>
        </w:rPr>
        <w:t>, there was no significant sign of conjugation or signs of fluoresce</w:t>
      </w:r>
      <w:r w:rsidR="00D14231">
        <w:rPr>
          <w:rFonts w:ascii="Times New Roman" w:eastAsia="Times New Roman" w:hAnsi="Times New Roman" w:cs="Times New Roman"/>
          <w:color w:val="000000"/>
          <w:sz w:val="24"/>
          <w:szCs w:val="24"/>
        </w:rPr>
        <w:t>nce</w:t>
      </w:r>
      <w:r w:rsidRPr="00B24008">
        <w:rPr>
          <w:rFonts w:ascii="Times New Roman" w:eastAsia="Times New Roman" w:hAnsi="Times New Roman" w:cs="Times New Roman"/>
          <w:color w:val="000000"/>
          <w:sz w:val="24"/>
          <w:szCs w:val="24"/>
        </w:rPr>
        <w:t xml:space="preserve">. </w:t>
      </w:r>
      <w:r w:rsidR="00D14231">
        <w:rPr>
          <w:rFonts w:ascii="Times New Roman" w:eastAsia="Times New Roman" w:hAnsi="Times New Roman" w:cs="Times New Roman"/>
          <w:color w:val="000000"/>
          <w:sz w:val="24"/>
          <w:szCs w:val="24"/>
        </w:rPr>
        <w:t xml:space="preserve">This was seen in all conditions, including 1:1 DMSO which had previously proven to be compatible outside of DNA form. </w:t>
      </w:r>
      <w:r w:rsidRPr="00B24008">
        <w:rPr>
          <w:rFonts w:ascii="Times New Roman" w:eastAsia="Times New Roman" w:hAnsi="Times New Roman" w:cs="Times New Roman"/>
          <w:color w:val="000000"/>
          <w:sz w:val="24"/>
          <w:szCs w:val="24"/>
        </w:rPr>
        <w:t xml:space="preserve">This indicates that there were additional factors in DNA that cause a lack of conjugation and fluorescence not seen in nucleotide form even with ideal pH conditions determined. Possible explanations are that intramolecular forces in DNA affecting the fluorophore's ability to conjugate effectively to </w:t>
      </w:r>
      <w:proofErr w:type="spellStart"/>
      <w:r w:rsidRPr="00B24008">
        <w:rPr>
          <w:rFonts w:ascii="Times New Roman" w:eastAsia="Times New Roman" w:hAnsi="Times New Roman" w:cs="Times New Roman"/>
          <w:color w:val="000000"/>
          <w:sz w:val="24"/>
          <w:szCs w:val="24"/>
        </w:rPr>
        <w:t>VdU</w:t>
      </w:r>
      <w:proofErr w:type="spellEnd"/>
      <w:r w:rsidRPr="00B24008">
        <w:rPr>
          <w:rFonts w:ascii="Times New Roman" w:eastAsia="Times New Roman" w:hAnsi="Times New Roman" w:cs="Times New Roman"/>
          <w:color w:val="000000"/>
          <w:sz w:val="24"/>
          <w:szCs w:val="24"/>
        </w:rPr>
        <w:t xml:space="preserve"> as previously proposed.</w:t>
      </w:r>
      <w:r w:rsidR="00D14231">
        <w:rPr>
          <w:rFonts w:ascii="Times New Roman" w:eastAsia="Times New Roman" w:hAnsi="Times New Roman" w:cs="Times New Roman"/>
          <w:color w:val="000000"/>
          <w:sz w:val="24"/>
          <w:szCs w:val="24"/>
        </w:rPr>
        <w:t xml:space="preserve"> Further assessment of solvent conditions should identify what these factors are and how they are </w:t>
      </w:r>
      <w:r w:rsidR="00011F28">
        <w:rPr>
          <w:rFonts w:ascii="Times New Roman" w:eastAsia="Times New Roman" w:hAnsi="Times New Roman" w:cs="Times New Roman"/>
          <w:color w:val="000000"/>
          <w:sz w:val="24"/>
          <w:szCs w:val="24"/>
        </w:rPr>
        <w:t>preventing</w:t>
      </w:r>
      <w:r w:rsidR="00D14231">
        <w:rPr>
          <w:rFonts w:ascii="Times New Roman" w:eastAsia="Times New Roman" w:hAnsi="Times New Roman" w:cs="Times New Roman"/>
          <w:color w:val="000000"/>
          <w:sz w:val="24"/>
          <w:szCs w:val="24"/>
        </w:rPr>
        <w:t xml:space="preserve"> the conjugat</w:t>
      </w:r>
      <w:r w:rsidR="00011F28">
        <w:rPr>
          <w:rFonts w:ascii="Times New Roman" w:eastAsia="Times New Roman" w:hAnsi="Times New Roman" w:cs="Times New Roman"/>
          <w:color w:val="000000"/>
          <w:sz w:val="24"/>
          <w:szCs w:val="24"/>
        </w:rPr>
        <w:t xml:space="preserve">ion of </w:t>
      </w:r>
      <w:proofErr w:type="spellStart"/>
      <w:r w:rsidR="00011F28">
        <w:rPr>
          <w:rFonts w:ascii="Times New Roman" w:eastAsia="Times New Roman" w:hAnsi="Times New Roman" w:cs="Times New Roman"/>
          <w:color w:val="000000"/>
          <w:sz w:val="24"/>
          <w:szCs w:val="24"/>
        </w:rPr>
        <w:t>VdU</w:t>
      </w:r>
      <w:proofErr w:type="spellEnd"/>
      <w:r w:rsidR="00011F28">
        <w:rPr>
          <w:rFonts w:ascii="Times New Roman" w:eastAsia="Times New Roman" w:hAnsi="Times New Roman" w:cs="Times New Roman"/>
          <w:color w:val="000000"/>
          <w:sz w:val="24"/>
          <w:szCs w:val="24"/>
        </w:rPr>
        <w:t xml:space="preserve"> to dye in DNA form</w:t>
      </w:r>
      <w:r w:rsidR="00D14231">
        <w:rPr>
          <w:rFonts w:ascii="Times New Roman" w:eastAsia="Times New Roman" w:hAnsi="Times New Roman" w:cs="Times New Roman"/>
          <w:color w:val="000000"/>
          <w:sz w:val="24"/>
          <w:szCs w:val="24"/>
        </w:rPr>
        <w:t xml:space="preserve">. This can be applied, not only to labeling origins, but also overall </w:t>
      </w:r>
      <w:r w:rsidR="00011F28">
        <w:rPr>
          <w:rFonts w:ascii="Times New Roman" w:eastAsia="Times New Roman" w:hAnsi="Times New Roman" w:cs="Times New Roman"/>
          <w:color w:val="000000"/>
          <w:sz w:val="24"/>
          <w:szCs w:val="24"/>
        </w:rPr>
        <w:t xml:space="preserve">DNA labeling with these dyes. </w:t>
      </w:r>
    </w:p>
    <w:p w14:paraId="7CB4A147" w14:textId="77777777" w:rsidR="00011F28" w:rsidRDefault="00011F28" w:rsidP="002F573D">
      <w:pPr>
        <w:spacing w:after="0" w:line="276" w:lineRule="auto"/>
        <w:rPr>
          <w:rFonts w:ascii="Times New Roman" w:eastAsia="Times New Roman" w:hAnsi="Times New Roman" w:cs="Times New Roman"/>
          <w:color w:val="000000"/>
          <w:sz w:val="24"/>
          <w:szCs w:val="24"/>
        </w:rPr>
      </w:pPr>
    </w:p>
    <w:p w14:paraId="14B96D99" w14:textId="08AA0F9E" w:rsidR="00B24008" w:rsidRPr="00B24008" w:rsidRDefault="00011F28" w:rsidP="00587E40">
      <w:pPr>
        <w:spacing w:after="0" w:line="276" w:lineRule="auto"/>
        <w:ind w:firstLine="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workflow designed for incorporation of </w:t>
      </w:r>
      <w:proofErr w:type="spellStart"/>
      <w:r>
        <w:rPr>
          <w:rFonts w:ascii="Times New Roman" w:eastAsia="Times New Roman" w:hAnsi="Times New Roman" w:cs="Times New Roman"/>
          <w:color w:val="000000"/>
          <w:sz w:val="24"/>
          <w:szCs w:val="24"/>
        </w:rPr>
        <w:t>dI</w:t>
      </w:r>
      <w:proofErr w:type="spellEnd"/>
      <w:r>
        <w:rPr>
          <w:rFonts w:ascii="Times New Roman" w:eastAsia="Times New Roman" w:hAnsi="Times New Roman" w:cs="Times New Roman"/>
          <w:color w:val="000000"/>
          <w:sz w:val="24"/>
          <w:szCs w:val="24"/>
        </w:rPr>
        <w:t xml:space="preserve"> was extremely like that of the </w:t>
      </w:r>
      <w:proofErr w:type="spellStart"/>
      <w:r>
        <w:rPr>
          <w:rFonts w:ascii="Times New Roman" w:eastAsia="Times New Roman" w:hAnsi="Times New Roman" w:cs="Times New Roman"/>
          <w:color w:val="000000"/>
          <w:sz w:val="24"/>
          <w:szCs w:val="24"/>
        </w:rPr>
        <w:t>VdU</w:t>
      </w:r>
      <w:proofErr w:type="spellEnd"/>
      <w:r>
        <w:rPr>
          <w:rFonts w:ascii="Times New Roman" w:eastAsia="Times New Roman" w:hAnsi="Times New Roman" w:cs="Times New Roman"/>
          <w:color w:val="000000"/>
          <w:sz w:val="24"/>
          <w:szCs w:val="24"/>
        </w:rPr>
        <w:t xml:space="preserve"> incorporation workflow. This is likely due to both analogs being thymidine mimic, which the cell recognizes as the same, therefore, identical conditions can be applied. The usage of </w:t>
      </w:r>
      <w:proofErr w:type="spellStart"/>
      <w:r>
        <w:rPr>
          <w:rFonts w:ascii="Times New Roman" w:eastAsia="Times New Roman" w:hAnsi="Times New Roman" w:cs="Times New Roman"/>
          <w:color w:val="000000"/>
          <w:sz w:val="24"/>
          <w:szCs w:val="24"/>
        </w:rPr>
        <w:t>dI</w:t>
      </w:r>
      <w:proofErr w:type="spellEnd"/>
      <w:r>
        <w:rPr>
          <w:rFonts w:ascii="Times New Roman" w:eastAsia="Times New Roman" w:hAnsi="Times New Roman" w:cs="Times New Roman"/>
          <w:color w:val="000000"/>
          <w:sz w:val="24"/>
          <w:szCs w:val="24"/>
        </w:rPr>
        <w:t xml:space="preserve"> was compatible for this study because it was acting as a target for the </w:t>
      </w:r>
      <w:r w:rsidR="00582DE4">
        <w:rPr>
          <w:rFonts w:ascii="Times New Roman" w:eastAsia="Times New Roman" w:hAnsi="Times New Roman" w:cs="Times New Roman"/>
          <w:color w:val="000000"/>
          <w:sz w:val="24"/>
          <w:szCs w:val="24"/>
        </w:rPr>
        <w:t>glycosylase</w:t>
      </w:r>
      <w:r>
        <w:rPr>
          <w:rFonts w:ascii="Times New Roman" w:eastAsia="Times New Roman" w:hAnsi="Times New Roman" w:cs="Times New Roman"/>
          <w:color w:val="000000"/>
          <w:sz w:val="24"/>
          <w:szCs w:val="24"/>
        </w:rPr>
        <w:t xml:space="preserve">, instead of a marker like </w:t>
      </w:r>
      <w:proofErr w:type="spellStart"/>
      <w:r>
        <w:rPr>
          <w:rFonts w:ascii="Times New Roman" w:eastAsia="Times New Roman" w:hAnsi="Times New Roman" w:cs="Times New Roman"/>
          <w:color w:val="000000"/>
          <w:sz w:val="24"/>
          <w:szCs w:val="24"/>
        </w:rPr>
        <w:t>VdU</w:t>
      </w:r>
      <w:proofErr w:type="spellEnd"/>
      <w:r>
        <w:rPr>
          <w:rFonts w:ascii="Times New Roman" w:eastAsia="Times New Roman" w:hAnsi="Times New Roman" w:cs="Times New Roman"/>
          <w:color w:val="000000"/>
          <w:sz w:val="24"/>
          <w:szCs w:val="24"/>
        </w:rPr>
        <w:t xml:space="preserve">. Since one of the first steps is to cut-out the </w:t>
      </w:r>
      <w:proofErr w:type="spellStart"/>
      <w:r>
        <w:rPr>
          <w:rFonts w:ascii="Times New Roman" w:eastAsia="Times New Roman" w:hAnsi="Times New Roman" w:cs="Times New Roman"/>
          <w:color w:val="000000"/>
          <w:sz w:val="24"/>
          <w:szCs w:val="24"/>
        </w:rPr>
        <w:t>dI</w:t>
      </w:r>
      <w:proofErr w:type="spellEnd"/>
      <w:r>
        <w:rPr>
          <w:rFonts w:ascii="Times New Roman" w:eastAsia="Times New Roman" w:hAnsi="Times New Roman" w:cs="Times New Roman"/>
          <w:color w:val="000000"/>
          <w:sz w:val="24"/>
          <w:szCs w:val="24"/>
        </w:rPr>
        <w:t xml:space="preserve">, it does not exhibit the </w:t>
      </w:r>
      <w:r w:rsidR="00582DE4">
        <w:rPr>
          <w:rFonts w:ascii="Times New Roman" w:eastAsia="Times New Roman" w:hAnsi="Times New Roman" w:cs="Times New Roman"/>
          <w:color w:val="000000"/>
          <w:sz w:val="24"/>
          <w:szCs w:val="24"/>
        </w:rPr>
        <w:t>incompatibility</w:t>
      </w:r>
      <w:r>
        <w:rPr>
          <w:rFonts w:ascii="Times New Roman" w:eastAsia="Times New Roman" w:hAnsi="Times New Roman" w:cs="Times New Roman"/>
          <w:color w:val="000000"/>
          <w:sz w:val="24"/>
          <w:szCs w:val="24"/>
        </w:rPr>
        <w:t xml:space="preserve"> with double-stranded DNA that had been previously identified due to halogenation.</w:t>
      </w:r>
      <w:r w:rsidR="00582DE4">
        <w:rPr>
          <w:rFonts w:ascii="Times New Roman" w:eastAsia="Times New Roman" w:hAnsi="Times New Roman" w:cs="Times New Roman"/>
          <w:color w:val="000000"/>
          <w:sz w:val="24"/>
          <w:szCs w:val="24"/>
        </w:rPr>
        <w:t xml:space="preserve"> </w:t>
      </w:r>
      <w:r w:rsidR="00B24008" w:rsidRPr="00B24008">
        <w:rPr>
          <w:rFonts w:ascii="Times New Roman" w:eastAsia="Times New Roman" w:hAnsi="Times New Roman" w:cs="Times New Roman"/>
          <w:color w:val="000000"/>
          <w:sz w:val="24"/>
          <w:szCs w:val="24"/>
        </w:rPr>
        <w:t xml:space="preserve">When treated with glycosylase, there was no sign of the creation of an A-basic site in </w:t>
      </w:r>
      <w:proofErr w:type="spellStart"/>
      <w:r w:rsidR="00B24008" w:rsidRPr="00B24008">
        <w:rPr>
          <w:rFonts w:ascii="Times New Roman" w:eastAsia="Times New Roman" w:hAnsi="Times New Roman" w:cs="Times New Roman"/>
          <w:color w:val="000000"/>
          <w:sz w:val="24"/>
          <w:szCs w:val="24"/>
        </w:rPr>
        <w:t>dI</w:t>
      </w:r>
      <w:proofErr w:type="spellEnd"/>
      <w:r w:rsidR="00B24008" w:rsidRPr="00B24008">
        <w:rPr>
          <w:rFonts w:ascii="Times New Roman" w:eastAsia="Times New Roman" w:hAnsi="Times New Roman" w:cs="Times New Roman"/>
          <w:color w:val="000000"/>
          <w:sz w:val="24"/>
          <w:szCs w:val="24"/>
        </w:rPr>
        <w:t xml:space="preserve">-treated DNA. This was unexpected because the glycosylase which was used is specific for non-naturally occurring nucleotides such as </w:t>
      </w:r>
      <w:proofErr w:type="spellStart"/>
      <w:r w:rsidR="00B24008" w:rsidRPr="00B24008">
        <w:rPr>
          <w:rFonts w:ascii="Times New Roman" w:eastAsia="Times New Roman" w:hAnsi="Times New Roman" w:cs="Times New Roman"/>
          <w:color w:val="000000"/>
          <w:sz w:val="24"/>
          <w:szCs w:val="24"/>
        </w:rPr>
        <w:t>dI</w:t>
      </w:r>
      <w:proofErr w:type="spellEnd"/>
      <w:r w:rsidR="00B24008" w:rsidRPr="00B24008">
        <w:rPr>
          <w:rFonts w:ascii="Times New Roman" w:eastAsia="Times New Roman" w:hAnsi="Times New Roman" w:cs="Times New Roman"/>
          <w:color w:val="000000"/>
          <w:sz w:val="24"/>
          <w:szCs w:val="24"/>
        </w:rPr>
        <w:t xml:space="preserve">, which should remove the inosine to create an a-basic site. In both standard conditions and doubled glycosylase with increased incubation time, there was no distinct sign of the creation of an a-basic site. This indicates that ideal conditions for </w:t>
      </w:r>
      <w:proofErr w:type="spellStart"/>
      <w:r w:rsidR="00B24008" w:rsidRPr="00B24008">
        <w:rPr>
          <w:rFonts w:ascii="Times New Roman" w:eastAsia="Times New Roman" w:hAnsi="Times New Roman" w:cs="Times New Roman"/>
          <w:color w:val="000000"/>
          <w:sz w:val="24"/>
          <w:szCs w:val="24"/>
        </w:rPr>
        <w:t>dI</w:t>
      </w:r>
      <w:proofErr w:type="spellEnd"/>
      <w:r w:rsidR="00B24008" w:rsidRPr="00B24008">
        <w:rPr>
          <w:rFonts w:ascii="Times New Roman" w:eastAsia="Times New Roman" w:hAnsi="Times New Roman" w:cs="Times New Roman"/>
          <w:color w:val="000000"/>
          <w:sz w:val="24"/>
          <w:szCs w:val="24"/>
        </w:rPr>
        <w:t xml:space="preserve"> treated DNA were not created from the kit solutions and with the current incubation times </w:t>
      </w:r>
    </w:p>
    <w:p w14:paraId="28AE33B1" w14:textId="77777777" w:rsidR="00B24008" w:rsidRPr="00B24008" w:rsidRDefault="00B24008" w:rsidP="002F573D">
      <w:pPr>
        <w:spacing w:after="0" w:line="276" w:lineRule="auto"/>
        <w:rPr>
          <w:rFonts w:ascii="Times New Roman" w:eastAsia="Times New Roman" w:hAnsi="Times New Roman" w:cs="Times New Roman"/>
          <w:sz w:val="28"/>
          <w:szCs w:val="28"/>
        </w:rPr>
      </w:pPr>
    </w:p>
    <w:p w14:paraId="3E01CE1D" w14:textId="62575143" w:rsidR="00B24008" w:rsidRPr="00B24008" w:rsidRDefault="00B24008" w:rsidP="00587E40">
      <w:pPr>
        <w:spacing w:after="0" w:line="276" w:lineRule="auto"/>
        <w:ind w:firstLine="180"/>
        <w:rPr>
          <w:rFonts w:ascii="Times New Roman" w:eastAsia="Times New Roman" w:hAnsi="Times New Roman" w:cs="Times New Roman"/>
          <w:color w:val="000000"/>
          <w:sz w:val="24"/>
          <w:szCs w:val="24"/>
        </w:rPr>
      </w:pPr>
      <w:r w:rsidRPr="00B24008">
        <w:rPr>
          <w:rFonts w:ascii="Times New Roman" w:eastAsia="Times New Roman" w:hAnsi="Times New Roman" w:cs="Times New Roman"/>
          <w:color w:val="000000"/>
          <w:sz w:val="24"/>
          <w:szCs w:val="24"/>
        </w:rPr>
        <w:t xml:space="preserve">Through both yeast and HeLa cell trials, </w:t>
      </w:r>
      <w:proofErr w:type="spellStart"/>
      <w:r w:rsidRPr="00B24008">
        <w:rPr>
          <w:rFonts w:ascii="Times New Roman" w:eastAsia="Times New Roman" w:hAnsi="Times New Roman" w:cs="Times New Roman"/>
          <w:color w:val="000000"/>
          <w:sz w:val="24"/>
          <w:szCs w:val="24"/>
        </w:rPr>
        <w:t>VdU</w:t>
      </w:r>
      <w:proofErr w:type="spellEnd"/>
      <w:r w:rsidRPr="00B24008">
        <w:rPr>
          <w:rFonts w:ascii="Times New Roman" w:eastAsia="Times New Roman" w:hAnsi="Times New Roman" w:cs="Times New Roman"/>
          <w:color w:val="000000"/>
          <w:sz w:val="24"/>
          <w:szCs w:val="24"/>
        </w:rPr>
        <w:t xml:space="preserve"> has proven to be successfully incorporated into DNA. In 1:1 DMSO and water, nucleoside </w:t>
      </w:r>
      <w:proofErr w:type="spellStart"/>
      <w:r w:rsidRPr="00B24008">
        <w:rPr>
          <w:rFonts w:ascii="Times New Roman" w:eastAsia="Times New Roman" w:hAnsi="Times New Roman" w:cs="Times New Roman"/>
          <w:color w:val="000000"/>
          <w:sz w:val="24"/>
          <w:szCs w:val="24"/>
        </w:rPr>
        <w:t>VdU</w:t>
      </w:r>
      <w:proofErr w:type="spellEnd"/>
      <w:r w:rsidRPr="00B24008">
        <w:rPr>
          <w:rFonts w:ascii="Times New Roman" w:eastAsia="Times New Roman" w:hAnsi="Times New Roman" w:cs="Times New Roman"/>
          <w:color w:val="000000"/>
          <w:sz w:val="24"/>
          <w:szCs w:val="24"/>
        </w:rPr>
        <w:t xml:space="preserve"> has been demonstrated to optically conjugate </w:t>
      </w:r>
      <w:r w:rsidRPr="00B24008">
        <w:rPr>
          <w:rFonts w:ascii="Times New Roman" w:eastAsia="Times New Roman" w:hAnsi="Times New Roman" w:cs="Times New Roman"/>
          <w:color w:val="000000"/>
          <w:sz w:val="24"/>
          <w:szCs w:val="24"/>
        </w:rPr>
        <w:lastRenderedPageBreak/>
        <w:t xml:space="preserve">with excess maleimide when incubated overnight and has demonstrated some conjugation with excess </w:t>
      </w:r>
      <w:proofErr w:type="spellStart"/>
      <w:r w:rsidRPr="00B24008">
        <w:rPr>
          <w:rFonts w:ascii="Times New Roman" w:eastAsia="Times New Roman" w:hAnsi="Times New Roman" w:cs="Times New Roman"/>
          <w:color w:val="000000"/>
          <w:sz w:val="24"/>
          <w:szCs w:val="24"/>
        </w:rPr>
        <w:t>Tamra</w:t>
      </w:r>
      <w:proofErr w:type="spellEnd"/>
      <w:r w:rsidRPr="00B24008">
        <w:rPr>
          <w:rFonts w:ascii="Times New Roman" w:eastAsia="Times New Roman" w:hAnsi="Times New Roman" w:cs="Times New Roman"/>
          <w:color w:val="000000"/>
          <w:sz w:val="24"/>
          <w:szCs w:val="24"/>
        </w:rPr>
        <w:t xml:space="preserve">-Tetrazine. Further experimentation can explore whether this can occur in incorporated DNA, which would allow it to be a possible candidate for labeling origins for Optical Replication Mapping (ORM). </w:t>
      </w:r>
      <w:r w:rsidR="00582DE4">
        <w:rPr>
          <w:rFonts w:ascii="Times New Roman" w:eastAsia="Times New Roman" w:hAnsi="Times New Roman" w:cs="Times New Roman"/>
          <w:color w:val="000000"/>
          <w:sz w:val="24"/>
          <w:szCs w:val="24"/>
        </w:rPr>
        <w:t>A key component of this will be to identify factors present in DNA form that would prevent either the conjugation of the dye or prevent the fluorescence of the fluorophore. Additionally, certifying that the peaks found in non-nucleoside form are conjugates via mass spec comparison to predicted mass is essential before moving on. In tandem,</w:t>
      </w:r>
      <w:r w:rsidR="00582DE4" w:rsidRPr="00B24008">
        <w:rPr>
          <w:rFonts w:ascii="Times New Roman" w:eastAsia="Times New Roman" w:hAnsi="Times New Roman" w:cs="Times New Roman"/>
          <w:color w:val="000000"/>
          <w:sz w:val="24"/>
          <w:szCs w:val="24"/>
        </w:rPr>
        <w:t xml:space="preserve"> incorporation of </w:t>
      </w:r>
      <w:proofErr w:type="spellStart"/>
      <w:r w:rsidR="00582DE4" w:rsidRPr="00B24008">
        <w:rPr>
          <w:rFonts w:ascii="Times New Roman" w:eastAsia="Times New Roman" w:hAnsi="Times New Roman" w:cs="Times New Roman"/>
          <w:color w:val="000000"/>
          <w:sz w:val="24"/>
          <w:szCs w:val="24"/>
        </w:rPr>
        <w:t>dI</w:t>
      </w:r>
      <w:proofErr w:type="spellEnd"/>
      <w:r w:rsidR="00582DE4" w:rsidRPr="00B24008">
        <w:rPr>
          <w:rFonts w:ascii="Times New Roman" w:eastAsia="Times New Roman" w:hAnsi="Times New Roman" w:cs="Times New Roman"/>
          <w:color w:val="000000"/>
          <w:sz w:val="24"/>
          <w:szCs w:val="24"/>
        </w:rPr>
        <w:t xml:space="preserve"> has also been proven to be successfully incorporated into DNA, however, was not converted to an A-basic with standard conditions or excess glycosylate. Future directions for this candidate will be to optimize conditions and continue future conjugation of a fluorescent tag. Once a viable workflow is identified and ORM can be completed, future studies can be aimed at improving the kinetic studies of DNA replication and applying them to the appropriate fields.</w:t>
      </w:r>
      <w:r w:rsidR="00582DE4">
        <w:rPr>
          <w:rFonts w:ascii="Times New Roman" w:eastAsia="Times New Roman" w:hAnsi="Times New Roman" w:cs="Times New Roman"/>
          <w:color w:val="000000"/>
          <w:sz w:val="24"/>
          <w:szCs w:val="24"/>
        </w:rPr>
        <w:t xml:space="preserve"> If proper labeling can occur, </w:t>
      </w:r>
      <w:r w:rsidRPr="00B24008">
        <w:rPr>
          <w:rFonts w:ascii="Times New Roman" w:eastAsia="Times New Roman" w:hAnsi="Times New Roman" w:cs="Times New Roman"/>
          <w:color w:val="000000"/>
          <w:sz w:val="24"/>
          <w:szCs w:val="24"/>
        </w:rPr>
        <w:t>labeled DNA can be sent to Bio-Nano for ORM to determine if origins can be accurately located on a single-molecule approach. From there, origins can be studied and categorized by their kinetic properties for more accurate categorization</w:t>
      </w:r>
      <w:r w:rsidR="00582DE4">
        <w:rPr>
          <w:rFonts w:ascii="Times New Roman" w:eastAsia="Times New Roman" w:hAnsi="Times New Roman" w:cs="Times New Roman"/>
          <w:color w:val="000000"/>
          <w:sz w:val="24"/>
          <w:szCs w:val="24"/>
        </w:rPr>
        <w:t xml:space="preserve"> and studying the phases of cellular division </w:t>
      </w:r>
    </w:p>
    <w:p w14:paraId="54B69BB0" w14:textId="77777777" w:rsidR="00C04D58" w:rsidRDefault="00C04D58" w:rsidP="002F573D">
      <w:pPr>
        <w:pStyle w:val="Heading2"/>
        <w:spacing w:before="360" w:beforeAutospacing="0" w:after="120" w:afterAutospacing="0" w:line="276" w:lineRule="auto"/>
        <w:rPr>
          <w:b w:val="0"/>
          <w:bCs w:val="0"/>
          <w:color w:val="000000"/>
          <w:sz w:val="32"/>
          <w:szCs w:val="32"/>
        </w:rPr>
      </w:pPr>
    </w:p>
    <w:p w14:paraId="430E1335" w14:textId="77777777" w:rsidR="00C04D58" w:rsidRDefault="00C04D58" w:rsidP="002F573D">
      <w:pPr>
        <w:pStyle w:val="Heading2"/>
        <w:spacing w:before="360" w:beforeAutospacing="0" w:after="120" w:afterAutospacing="0" w:line="276" w:lineRule="auto"/>
        <w:rPr>
          <w:b w:val="0"/>
          <w:bCs w:val="0"/>
          <w:color w:val="000000"/>
          <w:sz w:val="32"/>
          <w:szCs w:val="32"/>
        </w:rPr>
      </w:pPr>
    </w:p>
    <w:p w14:paraId="3EDF93E0" w14:textId="77777777" w:rsidR="00C04D58" w:rsidRDefault="00C04D58" w:rsidP="002F573D">
      <w:pPr>
        <w:pStyle w:val="Heading2"/>
        <w:spacing w:before="360" w:beforeAutospacing="0" w:after="120" w:afterAutospacing="0" w:line="276" w:lineRule="auto"/>
        <w:rPr>
          <w:b w:val="0"/>
          <w:bCs w:val="0"/>
          <w:color w:val="000000"/>
          <w:sz w:val="32"/>
          <w:szCs w:val="32"/>
        </w:rPr>
      </w:pPr>
    </w:p>
    <w:p w14:paraId="765BB6E1" w14:textId="40C0C29E" w:rsidR="00C04D58" w:rsidRDefault="00C04D58" w:rsidP="002F573D">
      <w:pPr>
        <w:pStyle w:val="Heading2"/>
        <w:spacing w:before="360" w:beforeAutospacing="0" w:after="120" w:afterAutospacing="0" w:line="276" w:lineRule="auto"/>
        <w:rPr>
          <w:b w:val="0"/>
          <w:bCs w:val="0"/>
          <w:color w:val="000000"/>
          <w:sz w:val="32"/>
          <w:szCs w:val="32"/>
        </w:rPr>
      </w:pPr>
    </w:p>
    <w:p w14:paraId="3DF6F4A6" w14:textId="4614688F" w:rsidR="0074193B" w:rsidRDefault="0074193B" w:rsidP="002F573D">
      <w:pPr>
        <w:pStyle w:val="Heading2"/>
        <w:spacing w:before="360" w:beforeAutospacing="0" w:after="120" w:afterAutospacing="0" w:line="276" w:lineRule="auto"/>
        <w:rPr>
          <w:b w:val="0"/>
          <w:bCs w:val="0"/>
          <w:color w:val="000000"/>
          <w:sz w:val="32"/>
          <w:szCs w:val="32"/>
        </w:rPr>
      </w:pPr>
    </w:p>
    <w:p w14:paraId="17FC1124" w14:textId="25D1A6D8" w:rsidR="0074193B" w:rsidRDefault="0074193B" w:rsidP="002F573D">
      <w:pPr>
        <w:pStyle w:val="Heading2"/>
        <w:spacing w:before="360" w:beforeAutospacing="0" w:after="120" w:afterAutospacing="0" w:line="276" w:lineRule="auto"/>
        <w:rPr>
          <w:b w:val="0"/>
          <w:bCs w:val="0"/>
          <w:color w:val="000000"/>
          <w:sz w:val="32"/>
          <w:szCs w:val="32"/>
        </w:rPr>
      </w:pPr>
    </w:p>
    <w:p w14:paraId="76FA7FB6" w14:textId="030261C1" w:rsidR="0099576B" w:rsidRDefault="0099576B" w:rsidP="002F573D">
      <w:pPr>
        <w:pStyle w:val="Heading2"/>
        <w:spacing w:before="360" w:beforeAutospacing="0" w:after="120" w:afterAutospacing="0" w:line="276" w:lineRule="auto"/>
        <w:rPr>
          <w:b w:val="0"/>
          <w:bCs w:val="0"/>
          <w:color w:val="000000"/>
          <w:sz w:val="32"/>
          <w:szCs w:val="32"/>
        </w:rPr>
      </w:pPr>
    </w:p>
    <w:p w14:paraId="0D6CEDAD" w14:textId="26E6C10C" w:rsidR="0099576B" w:rsidRDefault="0099576B" w:rsidP="002F573D">
      <w:pPr>
        <w:pStyle w:val="Heading2"/>
        <w:spacing w:before="360" w:beforeAutospacing="0" w:after="120" w:afterAutospacing="0" w:line="276" w:lineRule="auto"/>
        <w:rPr>
          <w:b w:val="0"/>
          <w:bCs w:val="0"/>
          <w:color w:val="000000"/>
          <w:sz w:val="32"/>
          <w:szCs w:val="32"/>
        </w:rPr>
      </w:pPr>
    </w:p>
    <w:p w14:paraId="7D88A081" w14:textId="7D826913" w:rsidR="0099576B" w:rsidRDefault="0099576B" w:rsidP="002F573D">
      <w:pPr>
        <w:pStyle w:val="Heading2"/>
        <w:spacing w:before="360" w:beforeAutospacing="0" w:after="120" w:afterAutospacing="0" w:line="276" w:lineRule="auto"/>
        <w:rPr>
          <w:b w:val="0"/>
          <w:bCs w:val="0"/>
          <w:color w:val="000000"/>
          <w:sz w:val="32"/>
          <w:szCs w:val="32"/>
        </w:rPr>
      </w:pPr>
    </w:p>
    <w:p w14:paraId="6D768F1A" w14:textId="725FB5A9" w:rsidR="0034209D" w:rsidRPr="0074193B" w:rsidRDefault="0034209D" w:rsidP="0074193B">
      <w:pPr>
        <w:pStyle w:val="Heading1"/>
        <w:rPr>
          <w:b/>
          <w:bCs/>
          <w:sz w:val="40"/>
          <w:szCs w:val="40"/>
        </w:rPr>
      </w:pPr>
      <w:bookmarkStart w:id="58" w:name="_Toc101972236"/>
      <w:bookmarkStart w:id="59" w:name="_Toc102048568"/>
      <w:r w:rsidRPr="0074193B">
        <w:rPr>
          <w:sz w:val="40"/>
          <w:szCs w:val="40"/>
        </w:rPr>
        <w:lastRenderedPageBreak/>
        <w:t>Figures</w:t>
      </w:r>
      <w:bookmarkEnd w:id="59"/>
      <w:r w:rsidRPr="0074193B">
        <w:rPr>
          <w:sz w:val="40"/>
          <w:szCs w:val="40"/>
        </w:rPr>
        <w:t xml:space="preserve"> </w:t>
      </w:r>
      <w:bookmarkEnd w:id="58"/>
    </w:p>
    <w:p w14:paraId="202EF2E0" w14:textId="518C042C" w:rsidR="00705C7A" w:rsidRDefault="00705C7A" w:rsidP="0034209D">
      <w:pPr>
        <w:pStyle w:val="Heading2"/>
        <w:spacing w:before="360" w:beforeAutospacing="0" w:after="120" w:afterAutospacing="0"/>
        <w:rPr>
          <w:b w:val="0"/>
          <w:bCs w:val="0"/>
          <w:color w:val="000000"/>
          <w:sz w:val="32"/>
          <w:szCs w:val="32"/>
        </w:rPr>
      </w:pPr>
      <w:bookmarkStart w:id="60" w:name="_Toc101972237"/>
      <w:bookmarkStart w:id="61" w:name="_Toc101973802"/>
      <w:bookmarkStart w:id="62" w:name="_Toc101987653"/>
      <w:bookmarkStart w:id="63" w:name="_Toc101989077"/>
      <w:bookmarkStart w:id="64" w:name="_Toc102048569"/>
      <w:r>
        <w:rPr>
          <w:rFonts w:ascii="Arial" w:hAnsi="Arial" w:cs="Arial"/>
          <w:noProof/>
          <w:color w:val="000000"/>
          <w:sz w:val="22"/>
          <w:szCs w:val="22"/>
          <w:bdr w:val="none" w:sz="0" w:space="0" w:color="auto" w:frame="1"/>
        </w:rPr>
        <w:drawing>
          <wp:inline distT="0" distB="0" distL="0" distR="0" wp14:anchorId="13DA3C74" wp14:editId="06AD782E">
            <wp:extent cx="5653825" cy="3486526"/>
            <wp:effectExtent l="0" t="0" r="4445"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8747" cy="3489561"/>
                    </a:xfrm>
                    <a:prstGeom prst="rect">
                      <a:avLst/>
                    </a:prstGeom>
                    <a:noFill/>
                    <a:ln>
                      <a:noFill/>
                    </a:ln>
                  </pic:spPr>
                </pic:pic>
              </a:graphicData>
            </a:graphic>
          </wp:inline>
        </w:drawing>
      </w:r>
      <w:bookmarkEnd w:id="60"/>
      <w:bookmarkEnd w:id="61"/>
      <w:bookmarkEnd w:id="62"/>
      <w:bookmarkEnd w:id="63"/>
      <w:bookmarkEnd w:id="64"/>
    </w:p>
    <w:p w14:paraId="249BD7C8" w14:textId="77777777" w:rsidR="0099576B" w:rsidRDefault="00D37AD2" w:rsidP="00D37AD2">
      <w:pPr>
        <w:spacing w:after="0" w:line="240" w:lineRule="auto"/>
        <w:rPr>
          <w:rFonts w:ascii="Times New Roman" w:eastAsia="Times New Roman" w:hAnsi="Times New Roman" w:cs="Times New Roman"/>
          <w:color w:val="000000"/>
        </w:rPr>
      </w:pPr>
      <w:r w:rsidRPr="00D37AD2">
        <w:rPr>
          <w:rStyle w:val="Heading5Char"/>
          <w:b/>
          <w:bCs/>
        </w:rPr>
        <w:t>Figure 1: Acute Exposure of Nucleoside Analogs-</w:t>
      </w:r>
      <w:r w:rsidRPr="00D37AD2">
        <w:rPr>
          <w:rStyle w:val="Heading5Char"/>
        </w:rPr>
        <w:t xml:space="preserve"> After being treated with concentrations ranging from 0.01 </w:t>
      </w:r>
      <w:proofErr w:type="spellStart"/>
      <w:r w:rsidRPr="00D37AD2">
        <w:rPr>
          <w:rStyle w:val="Heading5Char"/>
        </w:rPr>
        <w:t>uM</w:t>
      </w:r>
      <w:proofErr w:type="spellEnd"/>
      <w:r w:rsidRPr="00D37AD2">
        <w:rPr>
          <w:rStyle w:val="Heading5Char"/>
        </w:rPr>
        <w:t xml:space="preserve"> to 3.1 </w:t>
      </w:r>
      <w:proofErr w:type="spellStart"/>
      <w:r w:rsidRPr="00D37AD2">
        <w:rPr>
          <w:rStyle w:val="Heading5Char"/>
        </w:rPr>
        <w:t>uM</w:t>
      </w:r>
      <w:proofErr w:type="spellEnd"/>
      <w:r w:rsidRPr="00D37AD2">
        <w:rPr>
          <w:rStyle w:val="Heading5Char"/>
        </w:rPr>
        <w:t xml:space="preserve"> it, the density of the cells was measured via their OD to indicate the effect of the analogs on growth rate.</w:t>
      </w:r>
      <w:r w:rsidRPr="00D37AD2">
        <w:rPr>
          <w:rFonts w:ascii="Times New Roman" w:eastAsia="Times New Roman" w:hAnsi="Times New Roman" w:cs="Times New Roman"/>
          <w:color w:val="000000"/>
        </w:rPr>
        <w:t xml:space="preserve"> </w:t>
      </w:r>
    </w:p>
    <w:p w14:paraId="091F1C41" w14:textId="77777777" w:rsidR="0099576B" w:rsidRDefault="0099576B" w:rsidP="00D37AD2">
      <w:pPr>
        <w:spacing w:after="0" w:line="240" w:lineRule="auto"/>
        <w:rPr>
          <w:rFonts w:ascii="Times New Roman" w:eastAsia="Times New Roman" w:hAnsi="Times New Roman" w:cs="Times New Roman"/>
          <w:color w:val="000000"/>
        </w:rPr>
      </w:pPr>
    </w:p>
    <w:p w14:paraId="4B1C3847" w14:textId="77777777" w:rsidR="0099576B" w:rsidRDefault="0099576B" w:rsidP="00D37AD2">
      <w:pPr>
        <w:spacing w:after="0" w:line="240" w:lineRule="auto"/>
        <w:rPr>
          <w:rFonts w:ascii="Times New Roman" w:eastAsia="Times New Roman" w:hAnsi="Times New Roman" w:cs="Times New Roman"/>
          <w:color w:val="000000"/>
        </w:rPr>
      </w:pPr>
    </w:p>
    <w:p w14:paraId="07A7036A" w14:textId="77777777" w:rsidR="0099576B" w:rsidRDefault="0099576B" w:rsidP="00D37AD2">
      <w:pPr>
        <w:spacing w:after="0" w:line="240" w:lineRule="auto"/>
        <w:rPr>
          <w:rFonts w:ascii="Times New Roman" w:eastAsia="Times New Roman" w:hAnsi="Times New Roman" w:cs="Times New Roman"/>
          <w:color w:val="000000"/>
        </w:rPr>
      </w:pPr>
    </w:p>
    <w:p w14:paraId="3CDA8A70" w14:textId="77777777" w:rsidR="0099576B" w:rsidRDefault="0099576B" w:rsidP="00D37AD2">
      <w:pPr>
        <w:spacing w:after="0" w:line="240" w:lineRule="auto"/>
        <w:rPr>
          <w:rFonts w:ascii="Times New Roman" w:eastAsia="Times New Roman" w:hAnsi="Times New Roman" w:cs="Times New Roman"/>
          <w:color w:val="000000"/>
        </w:rPr>
      </w:pPr>
    </w:p>
    <w:p w14:paraId="700A64FB" w14:textId="77777777" w:rsidR="0099576B" w:rsidRDefault="0099576B" w:rsidP="00D37AD2">
      <w:pPr>
        <w:spacing w:after="0" w:line="240" w:lineRule="auto"/>
        <w:rPr>
          <w:rFonts w:ascii="Times New Roman" w:eastAsia="Times New Roman" w:hAnsi="Times New Roman" w:cs="Times New Roman"/>
          <w:color w:val="000000"/>
        </w:rPr>
      </w:pPr>
    </w:p>
    <w:p w14:paraId="3D1A338C" w14:textId="77777777" w:rsidR="0099576B" w:rsidRDefault="0099576B" w:rsidP="00D37AD2">
      <w:pPr>
        <w:spacing w:after="0" w:line="240" w:lineRule="auto"/>
        <w:rPr>
          <w:rFonts w:ascii="Times New Roman" w:eastAsia="Times New Roman" w:hAnsi="Times New Roman" w:cs="Times New Roman"/>
          <w:color w:val="000000"/>
        </w:rPr>
      </w:pPr>
    </w:p>
    <w:p w14:paraId="5E060A95" w14:textId="59D0DF7A" w:rsidR="00D37AD2" w:rsidRPr="00D37AD2" w:rsidRDefault="00D37AD2" w:rsidP="0099576B">
      <w:pPr>
        <w:spacing w:after="0" w:line="240" w:lineRule="auto"/>
        <w:rPr>
          <w:rFonts w:ascii="Times New Roman" w:eastAsia="Times New Roman" w:hAnsi="Times New Roman" w:cs="Times New Roman"/>
          <w:sz w:val="24"/>
          <w:szCs w:val="24"/>
        </w:rPr>
      </w:pPr>
      <w:r w:rsidRPr="00D37AD2">
        <w:rPr>
          <w:rFonts w:ascii="Times New Roman" w:eastAsia="Times New Roman" w:hAnsi="Times New Roman" w:cs="Times New Roman"/>
          <w:noProof/>
          <w:color w:val="000000"/>
          <w:bdr w:val="none" w:sz="0" w:space="0" w:color="auto" w:frame="1"/>
        </w:rPr>
        <w:lastRenderedPageBreak/>
        <w:drawing>
          <wp:anchor distT="0" distB="0" distL="114300" distR="114300" simplePos="0" relativeHeight="251658240" behindDoc="0" locked="0" layoutInCell="1" allowOverlap="1" wp14:anchorId="2407E5C2" wp14:editId="663999FD">
            <wp:simplePos x="0" y="0"/>
            <wp:positionH relativeFrom="column">
              <wp:posOffset>36</wp:posOffset>
            </wp:positionH>
            <wp:positionV relativeFrom="paragraph">
              <wp:posOffset>0</wp:posOffset>
            </wp:positionV>
            <wp:extent cx="6265396" cy="3863662"/>
            <wp:effectExtent l="0" t="0" r="2540" b="3810"/>
            <wp:wrapSquare wrapText="bothSides"/>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5396" cy="3863662"/>
                    </a:xfrm>
                    <a:prstGeom prst="rect">
                      <a:avLst/>
                    </a:prstGeom>
                    <a:noFill/>
                    <a:ln>
                      <a:noFill/>
                    </a:ln>
                  </pic:spPr>
                </pic:pic>
              </a:graphicData>
            </a:graphic>
          </wp:anchor>
        </w:drawing>
      </w:r>
    </w:p>
    <w:p w14:paraId="2B2B80D7" w14:textId="2CA69C05" w:rsidR="00615EDF" w:rsidRDefault="00615EDF" w:rsidP="00615EDF">
      <w:pPr>
        <w:pStyle w:val="Heading5"/>
        <w:rPr>
          <w:rFonts w:eastAsia="Times New Roman"/>
        </w:rPr>
      </w:pPr>
      <w:r w:rsidRPr="00615EDF">
        <w:rPr>
          <w:rFonts w:eastAsia="Times New Roman"/>
          <w:b/>
          <w:bCs/>
        </w:rPr>
        <w:t>Figure 2: Long Term Exposure of Nucleoside Analogs:</w:t>
      </w:r>
      <w:r w:rsidRPr="00615EDF">
        <w:rPr>
          <w:rFonts w:eastAsia="Times New Roman"/>
        </w:rPr>
        <w:t xml:space="preserve"> Over an extended </w:t>
      </w:r>
      <w:proofErr w:type="gramStart"/>
      <w:r w:rsidRPr="00615EDF">
        <w:rPr>
          <w:rFonts w:eastAsia="Times New Roman"/>
        </w:rPr>
        <w:t>period of time</w:t>
      </w:r>
      <w:proofErr w:type="gramEnd"/>
      <w:r w:rsidRPr="00615EDF">
        <w:rPr>
          <w:rFonts w:eastAsia="Times New Roman"/>
        </w:rPr>
        <w:t xml:space="preserve"> of 32 </w:t>
      </w:r>
      <w:proofErr w:type="spellStart"/>
      <w:r w:rsidRPr="00615EDF">
        <w:rPr>
          <w:rFonts w:eastAsia="Times New Roman"/>
        </w:rPr>
        <w:t>hrs</w:t>
      </w:r>
      <w:proofErr w:type="spellEnd"/>
      <w:r w:rsidRPr="00615EDF">
        <w:rPr>
          <w:rFonts w:eastAsia="Times New Roman"/>
        </w:rPr>
        <w:t xml:space="preserve">, </w:t>
      </w:r>
      <w:proofErr w:type="spellStart"/>
      <w:r w:rsidRPr="00615EDF">
        <w:rPr>
          <w:rFonts w:eastAsia="Times New Roman"/>
        </w:rPr>
        <w:t>VdU</w:t>
      </w:r>
      <w:proofErr w:type="spellEnd"/>
      <w:r w:rsidRPr="00615EDF">
        <w:rPr>
          <w:rFonts w:eastAsia="Times New Roman"/>
        </w:rPr>
        <w:t xml:space="preserve"> was shown to have no negative effect on cell growth when compared to other analogs</w:t>
      </w:r>
    </w:p>
    <w:p w14:paraId="0EBC327A" w14:textId="31384EBD" w:rsidR="00615EDF" w:rsidRDefault="00615EDF" w:rsidP="00615EDF"/>
    <w:p w14:paraId="58316A12" w14:textId="196AA613" w:rsidR="0099576B" w:rsidRDefault="0099576B" w:rsidP="00615EDF"/>
    <w:p w14:paraId="2B71F6C7" w14:textId="4E14FBE5" w:rsidR="0099576B" w:rsidRDefault="0099576B" w:rsidP="00615EDF"/>
    <w:p w14:paraId="16106499" w14:textId="0DF00459" w:rsidR="0099576B" w:rsidRDefault="0099576B" w:rsidP="00615EDF"/>
    <w:p w14:paraId="4BE377BD" w14:textId="70756A58" w:rsidR="0099576B" w:rsidRDefault="0099576B" w:rsidP="00615EDF"/>
    <w:p w14:paraId="637DA641" w14:textId="66600838" w:rsidR="0099576B" w:rsidRDefault="0099576B" w:rsidP="00615EDF"/>
    <w:p w14:paraId="0D2828CF" w14:textId="58B24638" w:rsidR="0099576B" w:rsidRDefault="0099576B" w:rsidP="00615EDF"/>
    <w:p w14:paraId="4A3CB4F3" w14:textId="15F6A99E" w:rsidR="0099576B" w:rsidRDefault="0099576B" w:rsidP="00615EDF"/>
    <w:p w14:paraId="32D5D5FC" w14:textId="507EF83E" w:rsidR="0099576B" w:rsidRDefault="0099576B" w:rsidP="00615EDF"/>
    <w:p w14:paraId="3206383E" w14:textId="33A87492" w:rsidR="0099576B" w:rsidRDefault="0099576B" w:rsidP="00615EDF"/>
    <w:p w14:paraId="608CDAE8" w14:textId="16B6D644" w:rsidR="0099576B" w:rsidRDefault="0099576B" w:rsidP="00615EDF"/>
    <w:p w14:paraId="7F46BC53" w14:textId="57B3C33F" w:rsidR="0099576B" w:rsidRDefault="0099576B" w:rsidP="00615EDF"/>
    <w:p w14:paraId="265634E9" w14:textId="77777777" w:rsidR="0099576B" w:rsidRDefault="0099576B" w:rsidP="00615EDF"/>
    <w:p w14:paraId="610261C5" w14:textId="020567E3" w:rsidR="00615EDF" w:rsidRDefault="00615EDF" w:rsidP="00615EDF">
      <w:r>
        <w:rPr>
          <w:rFonts w:ascii="Arial" w:hAnsi="Arial" w:cs="Arial"/>
          <w:noProof/>
          <w:color w:val="000000"/>
          <w:bdr w:val="none" w:sz="0" w:space="0" w:color="auto" w:frame="1"/>
        </w:rPr>
        <w:lastRenderedPageBreak/>
        <w:drawing>
          <wp:inline distT="0" distB="0" distL="0" distR="0" wp14:anchorId="3F801634" wp14:editId="75F46EC3">
            <wp:extent cx="5763075" cy="4906851"/>
            <wp:effectExtent l="0" t="0" r="9525" b="8255"/>
            <wp:docPr id="14" name="Picture 14"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waterfall chart&#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5128" b="42665"/>
                    <a:stretch/>
                  </pic:blipFill>
                  <pic:spPr bwMode="auto">
                    <a:xfrm>
                      <a:off x="0" y="0"/>
                      <a:ext cx="5813611" cy="4949879"/>
                    </a:xfrm>
                    <a:prstGeom prst="rect">
                      <a:avLst/>
                    </a:prstGeom>
                    <a:noFill/>
                    <a:ln>
                      <a:noFill/>
                    </a:ln>
                    <a:extLst>
                      <a:ext uri="{53640926-AAD7-44D8-BBD7-CCE9431645EC}">
                        <a14:shadowObscured xmlns:a14="http://schemas.microsoft.com/office/drawing/2010/main"/>
                      </a:ext>
                    </a:extLst>
                  </pic:spPr>
                </pic:pic>
              </a:graphicData>
            </a:graphic>
          </wp:inline>
        </w:drawing>
      </w:r>
    </w:p>
    <w:p w14:paraId="61F2F70F" w14:textId="47E82E9D" w:rsidR="002D7DEF" w:rsidRDefault="002D7DEF" w:rsidP="002D7DEF">
      <w:pPr>
        <w:pStyle w:val="Heading5"/>
        <w:rPr>
          <w:rFonts w:eastAsia="Times New Roman"/>
        </w:rPr>
      </w:pPr>
      <w:r w:rsidRPr="002D7DEF">
        <w:rPr>
          <w:rFonts w:eastAsia="Times New Roman"/>
          <w:b/>
          <w:bCs/>
        </w:rPr>
        <w:t xml:space="preserve">Figure 3: Septation after Exposure of Nucleoside Analogs: </w:t>
      </w:r>
      <w:r w:rsidRPr="002D7DEF">
        <w:rPr>
          <w:rFonts w:eastAsia="Times New Roman"/>
        </w:rPr>
        <w:t xml:space="preserve">After being treated with concentrations ranging from 0.01 </w:t>
      </w:r>
      <w:proofErr w:type="spellStart"/>
      <w:r w:rsidRPr="002D7DEF">
        <w:rPr>
          <w:rFonts w:eastAsia="Times New Roman"/>
        </w:rPr>
        <w:t>uM</w:t>
      </w:r>
      <w:proofErr w:type="spellEnd"/>
      <w:r w:rsidRPr="002D7DEF">
        <w:rPr>
          <w:rFonts w:eastAsia="Times New Roman"/>
        </w:rPr>
        <w:t xml:space="preserve"> to 3.1 </w:t>
      </w:r>
      <w:proofErr w:type="spellStart"/>
      <w:r w:rsidRPr="002D7DEF">
        <w:rPr>
          <w:rFonts w:eastAsia="Times New Roman"/>
        </w:rPr>
        <w:t>uM</w:t>
      </w:r>
      <w:proofErr w:type="spellEnd"/>
      <w:r w:rsidRPr="002D7DEF">
        <w:rPr>
          <w:rFonts w:eastAsia="Times New Roman"/>
        </w:rPr>
        <w:t xml:space="preserve">, the morphology of the cells was accessed via their septation </w:t>
      </w:r>
      <w:proofErr w:type="gramStart"/>
      <w:r w:rsidRPr="002D7DEF">
        <w:rPr>
          <w:rFonts w:eastAsia="Times New Roman"/>
        </w:rPr>
        <w:t>in order to</w:t>
      </w:r>
      <w:proofErr w:type="gramEnd"/>
      <w:r w:rsidRPr="002D7DEF">
        <w:rPr>
          <w:rFonts w:eastAsia="Times New Roman"/>
        </w:rPr>
        <w:t xml:space="preserve"> determine toxic effect of the analog</w:t>
      </w:r>
    </w:p>
    <w:p w14:paraId="315115D4" w14:textId="0EBF22DC" w:rsidR="0099576B" w:rsidRDefault="0099576B" w:rsidP="0099576B"/>
    <w:p w14:paraId="55A91847" w14:textId="53154B23" w:rsidR="0099576B" w:rsidRDefault="0099576B" w:rsidP="0099576B"/>
    <w:p w14:paraId="72F05467" w14:textId="08E2F9B1" w:rsidR="0099576B" w:rsidRDefault="0099576B" w:rsidP="0099576B"/>
    <w:p w14:paraId="0691C1F6" w14:textId="77777777" w:rsidR="0099576B" w:rsidRPr="0099576B" w:rsidRDefault="0099576B" w:rsidP="0099576B"/>
    <w:p w14:paraId="1DB45A5A" w14:textId="77777777" w:rsidR="0074193B" w:rsidRDefault="002D7DEF" w:rsidP="0074193B">
      <w:pPr>
        <w:rPr>
          <w:rFonts w:eastAsia="Times New Roman"/>
          <w:b/>
          <w:bCs/>
        </w:rPr>
      </w:pPr>
      <w:r>
        <w:rPr>
          <w:rFonts w:ascii="Arial" w:hAnsi="Arial" w:cs="Arial"/>
          <w:noProof/>
          <w:color w:val="000000"/>
          <w:bdr w:val="none" w:sz="0" w:space="0" w:color="auto" w:frame="1"/>
        </w:rPr>
        <w:lastRenderedPageBreak/>
        <w:drawing>
          <wp:inline distT="0" distB="0" distL="0" distR="0" wp14:anchorId="751F8B08" wp14:editId="0C33A6A0">
            <wp:extent cx="6601340" cy="2369713"/>
            <wp:effectExtent l="0" t="0" r="0" b="0"/>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50836" cy="2387481"/>
                    </a:xfrm>
                    <a:prstGeom prst="rect">
                      <a:avLst/>
                    </a:prstGeom>
                    <a:noFill/>
                    <a:ln>
                      <a:noFill/>
                    </a:ln>
                  </pic:spPr>
                </pic:pic>
              </a:graphicData>
            </a:graphic>
          </wp:inline>
        </w:drawing>
      </w:r>
    </w:p>
    <w:p w14:paraId="005F1452" w14:textId="348C038B" w:rsidR="00900508" w:rsidRDefault="00900508" w:rsidP="0074193B">
      <w:pPr>
        <w:pStyle w:val="Heading5"/>
        <w:rPr>
          <w:rFonts w:eastAsia="Times New Roman"/>
        </w:rPr>
      </w:pPr>
      <w:r w:rsidRPr="00900508">
        <w:rPr>
          <w:rFonts w:eastAsia="Times New Roman"/>
          <w:b/>
          <w:bCs/>
        </w:rPr>
        <w:t xml:space="preserve">Figure 4: Yeast Toxicity Workflow- Panel A- Acute Exposure, Panel B- Septation, Panel C- Long Term Exposure. </w:t>
      </w:r>
      <w:r w:rsidRPr="00900508">
        <w:rPr>
          <w:rFonts w:eastAsia="Times New Roman"/>
        </w:rPr>
        <w:t xml:space="preserve">Yeast studies were first carried out to compare the compatibility of the nucleotide analog </w:t>
      </w:r>
      <w:proofErr w:type="spellStart"/>
      <w:r w:rsidRPr="00900508">
        <w:rPr>
          <w:rFonts w:eastAsia="Times New Roman"/>
        </w:rPr>
        <w:t>VdU</w:t>
      </w:r>
      <w:proofErr w:type="spellEnd"/>
      <w:r w:rsidRPr="00900508">
        <w:rPr>
          <w:rFonts w:eastAsia="Times New Roman"/>
        </w:rPr>
        <w:t xml:space="preserve">, which had been previously indicated to be compatible, to other known analogs. Through acute testing, </w:t>
      </w:r>
      <w:proofErr w:type="spellStart"/>
      <w:r w:rsidRPr="00900508">
        <w:rPr>
          <w:rFonts w:eastAsia="Times New Roman"/>
        </w:rPr>
        <w:t>VdU</w:t>
      </w:r>
      <w:proofErr w:type="spellEnd"/>
      <w:r w:rsidRPr="00900508">
        <w:rPr>
          <w:rFonts w:eastAsia="Times New Roman"/>
        </w:rPr>
        <w:t xml:space="preserve"> demonstrated the same or less morphological impact on the yeast cells with increased septation. Through long-term testing, the same results were demonstrated. This indicated </w:t>
      </w:r>
      <w:proofErr w:type="spellStart"/>
      <w:r w:rsidRPr="00900508">
        <w:rPr>
          <w:rFonts w:eastAsia="Times New Roman"/>
        </w:rPr>
        <w:t>VdU</w:t>
      </w:r>
      <w:proofErr w:type="spellEnd"/>
      <w:r w:rsidRPr="00900508">
        <w:rPr>
          <w:rFonts w:eastAsia="Times New Roman"/>
        </w:rPr>
        <w:t xml:space="preserve"> was an acceptable candidate, as it was causing little to no toxic effect, but still showing signs of incorporation</w:t>
      </w:r>
    </w:p>
    <w:p w14:paraId="7A70C6E8" w14:textId="538BA333" w:rsidR="0099576B" w:rsidRDefault="0099576B" w:rsidP="0099576B"/>
    <w:p w14:paraId="2F00AB2D" w14:textId="72D19ADB" w:rsidR="0099576B" w:rsidRDefault="0099576B" w:rsidP="0099576B"/>
    <w:p w14:paraId="6E2EC841" w14:textId="37EC7C56" w:rsidR="0099576B" w:rsidRDefault="0099576B" w:rsidP="0099576B"/>
    <w:p w14:paraId="066ACA22" w14:textId="49D6F3D9" w:rsidR="0099576B" w:rsidRDefault="0099576B" w:rsidP="0099576B"/>
    <w:p w14:paraId="5655B302" w14:textId="77777777" w:rsidR="0099576B" w:rsidRPr="0099576B" w:rsidRDefault="0099576B" w:rsidP="0099576B"/>
    <w:p w14:paraId="4618A63A" w14:textId="7B0F179A" w:rsidR="00900508" w:rsidRDefault="00900508" w:rsidP="0034209D">
      <w:pPr>
        <w:pStyle w:val="Heading2"/>
        <w:spacing w:before="360" w:beforeAutospacing="0" w:after="120" w:afterAutospacing="0"/>
        <w:rPr>
          <w:b w:val="0"/>
          <w:bCs w:val="0"/>
          <w:color w:val="000000"/>
          <w:sz w:val="32"/>
          <w:szCs w:val="32"/>
        </w:rPr>
      </w:pPr>
      <w:bookmarkStart w:id="65" w:name="_Toc101972238"/>
      <w:bookmarkStart w:id="66" w:name="_Toc101973803"/>
      <w:bookmarkStart w:id="67" w:name="_Toc101987654"/>
      <w:bookmarkStart w:id="68" w:name="_Toc101989078"/>
      <w:bookmarkStart w:id="69" w:name="_Toc102048570"/>
      <w:r>
        <w:rPr>
          <w:rFonts w:ascii="Arial" w:hAnsi="Arial" w:cs="Arial"/>
          <w:noProof/>
          <w:color w:val="000000"/>
          <w:sz w:val="22"/>
          <w:szCs w:val="22"/>
          <w:bdr w:val="none" w:sz="0" w:space="0" w:color="auto" w:frame="1"/>
        </w:rPr>
        <w:lastRenderedPageBreak/>
        <w:drawing>
          <wp:inline distT="0" distB="0" distL="0" distR="0" wp14:anchorId="20AB33A0" wp14:editId="53BFAAFA">
            <wp:extent cx="5943600" cy="3810000"/>
            <wp:effectExtent l="0" t="0" r="0" b="0"/>
            <wp:docPr id="16" name="Picture 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bookmarkEnd w:id="65"/>
      <w:bookmarkEnd w:id="66"/>
      <w:bookmarkEnd w:id="67"/>
      <w:bookmarkEnd w:id="68"/>
      <w:bookmarkEnd w:id="69"/>
    </w:p>
    <w:p w14:paraId="45F8575E" w14:textId="0169085B" w:rsidR="00900508" w:rsidRDefault="00900508" w:rsidP="00900508">
      <w:pPr>
        <w:pStyle w:val="Heading5"/>
        <w:rPr>
          <w:rFonts w:eastAsia="Times New Roman"/>
        </w:rPr>
      </w:pPr>
      <w:r w:rsidRPr="00900508">
        <w:rPr>
          <w:rFonts w:eastAsia="Times New Roman"/>
          <w:b/>
          <w:bCs/>
        </w:rPr>
        <w:t xml:space="preserve">Figure 5: Incorporation of </w:t>
      </w:r>
      <w:proofErr w:type="spellStart"/>
      <w:r w:rsidRPr="00900508">
        <w:rPr>
          <w:rFonts w:eastAsia="Times New Roman"/>
          <w:b/>
          <w:bCs/>
        </w:rPr>
        <w:t>VdU</w:t>
      </w:r>
      <w:proofErr w:type="spellEnd"/>
      <w:r w:rsidRPr="00900508">
        <w:rPr>
          <w:rFonts w:eastAsia="Times New Roman"/>
          <w:b/>
          <w:bCs/>
        </w:rPr>
        <w:t xml:space="preserve"> Top to Bottom- Control, </w:t>
      </w:r>
      <w:proofErr w:type="spellStart"/>
      <w:r w:rsidRPr="00900508">
        <w:rPr>
          <w:rFonts w:eastAsia="Times New Roman"/>
          <w:b/>
          <w:bCs/>
        </w:rPr>
        <w:t>Vdu</w:t>
      </w:r>
      <w:proofErr w:type="spellEnd"/>
      <w:r w:rsidRPr="00900508">
        <w:rPr>
          <w:rFonts w:eastAsia="Times New Roman"/>
          <w:b/>
          <w:bCs/>
        </w:rPr>
        <w:t xml:space="preserve"> incorporated DNA at 260 nm, and </w:t>
      </w:r>
      <w:proofErr w:type="spellStart"/>
      <w:r w:rsidRPr="00900508">
        <w:rPr>
          <w:rFonts w:eastAsia="Times New Roman"/>
          <w:b/>
          <w:bCs/>
        </w:rPr>
        <w:t>VdU</w:t>
      </w:r>
      <w:proofErr w:type="spellEnd"/>
      <w:r w:rsidRPr="00900508">
        <w:rPr>
          <w:rFonts w:eastAsia="Times New Roman"/>
          <w:b/>
          <w:bCs/>
        </w:rPr>
        <w:t xml:space="preserve"> incorporated DNA at 290 nm.</w:t>
      </w:r>
      <w:r w:rsidRPr="00900508">
        <w:rPr>
          <w:rFonts w:eastAsia="Times New Roman"/>
        </w:rPr>
        <w:t xml:space="preserve"> Through </w:t>
      </w:r>
      <w:proofErr w:type="spellStart"/>
      <w:r w:rsidRPr="00900508">
        <w:rPr>
          <w:rFonts w:eastAsia="Times New Roman"/>
        </w:rPr>
        <w:t>VdU</w:t>
      </w:r>
      <w:proofErr w:type="spellEnd"/>
      <w:r w:rsidRPr="00900508">
        <w:rPr>
          <w:rFonts w:eastAsia="Times New Roman"/>
        </w:rPr>
        <w:t xml:space="preserve"> standard, we have accessed that </w:t>
      </w:r>
      <w:proofErr w:type="spellStart"/>
      <w:r w:rsidRPr="00900508">
        <w:rPr>
          <w:rFonts w:eastAsia="Times New Roman"/>
        </w:rPr>
        <w:t>VdU</w:t>
      </w:r>
      <w:proofErr w:type="spellEnd"/>
      <w:r w:rsidRPr="00900508">
        <w:rPr>
          <w:rFonts w:eastAsia="Times New Roman"/>
        </w:rPr>
        <w:t xml:space="preserve"> elutes at approximately 23min during HPLC. When compared to unlabeled DNA, </w:t>
      </w:r>
      <w:proofErr w:type="spellStart"/>
      <w:r w:rsidRPr="00900508">
        <w:rPr>
          <w:rFonts w:eastAsia="Times New Roman"/>
        </w:rPr>
        <w:t>VdU</w:t>
      </w:r>
      <w:proofErr w:type="spellEnd"/>
      <w:r w:rsidRPr="00900508">
        <w:rPr>
          <w:rFonts w:eastAsia="Times New Roman"/>
        </w:rPr>
        <w:t xml:space="preserve"> clearly has become incorporated at this time </w:t>
      </w:r>
      <w:proofErr w:type="gramStart"/>
      <w:r w:rsidRPr="00900508">
        <w:rPr>
          <w:rFonts w:eastAsia="Times New Roman"/>
        </w:rPr>
        <w:t>point;</w:t>
      </w:r>
      <w:proofErr w:type="gramEnd"/>
      <w:r w:rsidRPr="00900508">
        <w:rPr>
          <w:rFonts w:eastAsia="Times New Roman"/>
        </w:rPr>
        <w:t xml:space="preserve"> as seen by the peak measured at 260 nm which increases in height at 292 nm (</w:t>
      </w:r>
      <w:proofErr w:type="spellStart"/>
      <w:r w:rsidRPr="00900508">
        <w:rPr>
          <w:rFonts w:eastAsia="Times New Roman"/>
        </w:rPr>
        <w:t>VdU</w:t>
      </w:r>
      <w:proofErr w:type="spellEnd"/>
      <w:r w:rsidRPr="00900508">
        <w:rPr>
          <w:rFonts w:eastAsia="Times New Roman"/>
        </w:rPr>
        <w:t xml:space="preserve"> optimal absorbance). Optimal </w:t>
      </w:r>
      <w:proofErr w:type="spellStart"/>
      <w:r w:rsidRPr="00900508">
        <w:rPr>
          <w:rFonts w:eastAsia="Times New Roman"/>
        </w:rPr>
        <w:t>VdU</w:t>
      </w:r>
      <w:proofErr w:type="spellEnd"/>
      <w:r w:rsidRPr="00900508">
        <w:rPr>
          <w:rFonts w:eastAsia="Times New Roman"/>
        </w:rPr>
        <w:t xml:space="preserve"> incorporation is found at 33uM after a 24hr incubation as seen in the figure. </w:t>
      </w:r>
    </w:p>
    <w:p w14:paraId="3572364B" w14:textId="77777777" w:rsidR="0099576B" w:rsidRPr="0099576B" w:rsidRDefault="0099576B" w:rsidP="0099576B"/>
    <w:p w14:paraId="593E83F3" w14:textId="4E58EA54" w:rsidR="0099576B" w:rsidRDefault="0099576B" w:rsidP="0099576B"/>
    <w:p w14:paraId="0D096689" w14:textId="48B60AE3" w:rsidR="00900508" w:rsidRDefault="00E9439F" w:rsidP="0034209D">
      <w:pPr>
        <w:pStyle w:val="Heading2"/>
        <w:spacing w:before="360" w:beforeAutospacing="0" w:after="120" w:afterAutospacing="0"/>
        <w:rPr>
          <w:b w:val="0"/>
          <w:bCs w:val="0"/>
          <w:color w:val="000000"/>
          <w:sz w:val="32"/>
          <w:szCs w:val="32"/>
        </w:rPr>
      </w:pPr>
      <w:bookmarkStart w:id="70" w:name="_Toc101972239"/>
      <w:bookmarkStart w:id="71" w:name="_Toc101973804"/>
      <w:bookmarkStart w:id="72" w:name="_Toc101987655"/>
      <w:bookmarkStart w:id="73" w:name="_Toc101989079"/>
      <w:bookmarkStart w:id="74" w:name="_Toc102048571"/>
      <w:r>
        <w:rPr>
          <w:rFonts w:ascii="Arial" w:hAnsi="Arial" w:cs="Arial"/>
          <w:noProof/>
          <w:color w:val="000000"/>
          <w:sz w:val="22"/>
          <w:szCs w:val="22"/>
          <w:bdr w:val="none" w:sz="0" w:space="0" w:color="auto" w:frame="1"/>
        </w:rPr>
        <w:lastRenderedPageBreak/>
        <w:drawing>
          <wp:anchor distT="0" distB="0" distL="114300" distR="114300" simplePos="0" relativeHeight="251657728" behindDoc="0" locked="0" layoutInCell="1" allowOverlap="1" wp14:anchorId="098D9F7B" wp14:editId="5A75E0B3">
            <wp:simplePos x="0" y="0"/>
            <wp:positionH relativeFrom="column">
              <wp:posOffset>-683386</wp:posOffset>
            </wp:positionH>
            <wp:positionV relativeFrom="paragraph">
              <wp:posOffset>0</wp:posOffset>
            </wp:positionV>
            <wp:extent cx="7255097" cy="2678806"/>
            <wp:effectExtent l="0" t="0" r="3175" b="7620"/>
            <wp:wrapSquare wrapText="bothSides"/>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4509"/>
                    <a:stretch/>
                  </pic:blipFill>
                  <pic:spPr bwMode="auto">
                    <a:xfrm>
                      <a:off x="0" y="0"/>
                      <a:ext cx="7255097" cy="26788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70"/>
      <w:bookmarkEnd w:id="71"/>
      <w:bookmarkEnd w:id="72"/>
      <w:bookmarkEnd w:id="73"/>
      <w:bookmarkEnd w:id="74"/>
    </w:p>
    <w:p w14:paraId="3E98B571" w14:textId="3D580333" w:rsidR="00E9439F" w:rsidRDefault="00E9439F" w:rsidP="00E9439F">
      <w:pPr>
        <w:pStyle w:val="Heading5"/>
        <w:rPr>
          <w:rFonts w:eastAsia="Times New Roman"/>
        </w:rPr>
      </w:pPr>
      <w:r w:rsidRPr="00E9439F">
        <w:rPr>
          <w:rFonts w:eastAsia="Times New Roman"/>
          <w:b/>
          <w:bCs/>
        </w:rPr>
        <w:t xml:space="preserve">Figure 6: Incorporation of </w:t>
      </w:r>
      <w:proofErr w:type="spellStart"/>
      <w:r w:rsidRPr="00E9439F">
        <w:rPr>
          <w:rFonts w:eastAsia="Times New Roman"/>
          <w:b/>
          <w:bCs/>
        </w:rPr>
        <w:t>dI</w:t>
      </w:r>
      <w:proofErr w:type="spellEnd"/>
      <w:r w:rsidRPr="00E9439F">
        <w:rPr>
          <w:rFonts w:eastAsia="Times New Roman"/>
          <w:b/>
          <w:bCs/>
        </w:rPr>
        <w:t xml:space="preserve"> Top to Bottom- </w:t>
      </w:r>
      <w:proofErr w:type="spellStart"/>
      <w:r w:rsidRPr="00E9439F">
        <w:rPr>
          <w:rFonts w:eastAsia="Times New Roman"/>
          <w:b/>
          <w:bCs/>
        </w:rPr>
        <w:t>dI</w:t>
      </w:r>
      <w:proofErr w:type="spellEnd"/>
      <w:r w:rsidRPr="00E9439F">
        <w:rPr>
          <w:rFonts w:eastAsia="Times New Roman"/>
          <w:b/>
          <w:bCs/>
        </w:rPr>
        <w:t xml:space="preserve"> Incorporated DNA, </w:t>
      </w:r>
      <w:proofErr w:type="spellStart"/>
      <w:r w:rsidRPr="00E9439F">
        <w:rPr>
          <w:rFonts w:eastAsia="Times New Roman"/>
          <w:b/>
          <w:bCs/>
        </w:rPr>
        <w:t>dI</w:t>
      </w:r>
      <w:proofErr w:type="spellEnd"/>
      <w:r w:rsidRPr="00E9439F">
        <w:rPr>
          <w:rFonts w:eastAsia="Times New Roman"/>
          <w:b/>
          <w:bCs/>
        </w:rPr>
        <w:t xml:space="preserve"> Control, HeLa DNA Control.</w:t>
      </w:r>
      <w:r w:rsidRPr="00E9439F">
        <w:rPr>
          <w:rFonts w:eastAsia="Times New Roman"/>
        </w:rPr>
        <w:t xml:space="preserve"> </w:t>
      </w:r>
      <w:proofErr w:type="spellStart"/>
      <w:r w:rsidRPr="00E9439F">
        <w:rPr>
          <w:rFonts w:eastAsia="Times New Roman"/>
        </w:rPr>
        <w:t>dI</w:t>
      </w:r>
      <w:proofErr w:type="spellEnd"/>
      <w:r w:rsidRPr="00E9439F">
        <w:rPr>
          <w:rFonts w:eastAsia="Times New Roman"/>
        </w:rPr>
        <w:t xml:space="preserve"> was shown to elute at around 18 minutes. Through comparisons with the controls, there was successful incorporation of </w:t>
      </w:r>
      <w:proofErr w:type="spellStart"/>
      <w:r w:rsidRPr="00E9439F">
        <w:rPr>
          <w:rFonts w:eastAsia="Times New Roman"/>
        </w:rPr>
        <w:t>dI</w:t>
      </w:r>
      <w:proofErr w:type="spellEnd"/>
      <w:r w:rsidRPr="00E9439F">
        <w:rPr>
          <w:rFonts w:eastAsia="Times New Roman"/>
        </w:rPr>
        <w:t xml:space="preserve"> </w:t>
      </w:r>
      <w:proofErr w:type="gramStart"/>
      <w:r w:rsidRPr="00E9439F">
        <w:rPr>
          <w:rFonts w:eastAsia="Times New Roman"/>
        </w:rPr>
        <w:t>in HeLa</w:t>
      </w:r>
      <w:proofErr w:type="gramEnd"/>
      <w:r w:rsidRPr="00E9439F">
        <w:rPr>
          <w:rFonts w:eastAsia="Times New Roman"/>
        </w:rPr>
        <w:t xml:space="preserve"> </w:t>
      </w:r>
      <w:proofErr w:type="spellStart"/>
      <w:r w:rsidRPr="00E9439F">
        <w:rPr>
          <w:rFonts w:eastAsia="Times New Roman"/>
        </w:rPr>
        <w:t>cells</w:t>
      </w:r>
      <w:proofErr w:type="spellEnd"/>
      <w:r w:rsidRPr="00E9439F">
        <w:rPr>
          <w:rFonts w:eastAsia="Times New Roman"/>
        </w:rPr>
        <w:t xml:space="preserve"> DNA, when treated with 33uM</w:t>
      </w:r>
    </w:p>
    <w:p w14:paraId="747F85A2" w14:textId="7999ADAA" w:rsidR="004102F2" w:rsidRDefault="004102F2" w:rsidP="004102F2"/>
    <w:p w14:paraId="17A856EF" w14:textId="301BD230" w:rsidR="0099576B" w:rsidRDefault="0099576B" w:rsidP="004102F2"/>
    <w:p w14:paraId="365B3A3A" w14:textId="64D5A526" w:rsidR="0099576B" w:rsidRDefault="0099576B" w:rsidP="004102F2"/>
    <w:p w14:paraId="732D9A16" w14:textId="77777777" w:rsidR="0099576B" w:rsidRDefault="0099576B" w:rsidP="004102F2"/>
    <w:p w14:paraId="5418D503" w14:textId="1F47F7CF" w:rsidR="004102F2" w:rsidRDefault="004102F2" w:rsidP="004102F2">
      <w:r>
        <w:rPr>
          <w:rFonts w:ascii="Arial" w:hAnsi="Arial" w:cs="Arial"/>
          <w:noProof/>
          <w:color w:val="000000"/>
          <w:bdr w:val="none" w:sz="0" w:space="0" w:color="auto" w:frame="1"/>
        </w:rPr>
        <w:lastRenderedPageBreak/>
        <w:drawing>
          <wp:inline distT="0" distB="0" distL="0" distR="0" wp14:anchorId="1CB5D8AC" wp14:editId="26498611">
            <wp:extent cx="6259132" cy="4169804"/>
            <wp:effectExtent l="0" t="0" r="8890" b="2540"/>
            <wp:docPr id="18" name="Picture 1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63233" cy="4172536"/>
                    </a:xfrm>
                    <a:prstGeom prst="rect">
                      <a:avLst/>
                    </a:prstGeom>
                    <a:noFill/>
                    <a:ln>
                      <a:noFill/>
                    </a:ln>
                  </pic:spPr>
                </pic:pic>
              </a:graphicData>
            </a:graphic>
          </wp:inline>
        </w:drawing>
      </w:r>
    </w:p>
    <w:p w14:paraId="33A18E2F" w14:textId="160B2FBE" w:rsidR="004102F2" w:rsidRDefault="004102F2" w:rsidP="004102F2">
      <w:pPr>
        <w:pStyle w:val="Heading5"/>
        <w:rPr>
          <w:rFonts w:eastAsia="Times New Roman"/>
        </w:rPr>
      </w:pPr>
      <w:r w:rsidRPr="004102F2">
        <w:rPr>
          <w:rFonts w:eastAsia="Times New Roman"/>
          <w:b/>
          <w:bCs/>
        </w:rPr>
        <w:t xml:space="preserve">Figure 7: Tetrazine Samples Treated at 35- </w:t>
      </w:r>
      <w:r w:rsidRPr="004102F2">
        <w:rPr>
          <w:rFonts w:eastAsia="Times New Roman"/>
        </w:rPr>
        <w:t>Measured on HPLC, Tetrazine indicated no signs of conjugation in the water samples and samples in 1:1 water to DMF</w:t>
      </w:r>
    </w:p>
    <w:p w14:paraId="463338D5" w14:textId="36180EAF" w:rsidR="004102F2" w:rsidRDefault="004102F2" w:rsidP="004102F2"/>
    <w:p w14:paraId="53F8181B" w14:textId="2B411459" w:rsidR="004102F2" w:rsidRDefault="004102F2" w:rsidP="004102F2">
      <w:r>
        <w:rPr>
          <w:rFonts w:ascii="Arial" w:hAnsi="Arial" w:cs="Arial"/>
          <w:noProof/>
          <w:color w:val="000000"/>
          <w:bdr w:val="none" w:sz="0" w:space="0" w:color="auto" w:frame="1"/>
        </w:rPr>
        <w:lastRenderedPageBreak/>
        <w:drawing>
          <wp:inline distT="0" distB="0" distL="0" distR="0" wp14:anchorId="44C2A8D8" wp14:editId="3129AD7D">
            <wp:extent cx="5958201" cy="3966693"/>
            <wp:effectExtent l="0" t="0" r="5080" b="0"/>
            <wp:docPr id="19" name="Picture 1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4707" cy="3971025"/>
                    </a:xfrm>
                    <a:prstGeom prst="rect">
                      <a:avLst/>
                    </a:prstGeom>
                    <a:noFill/>
                    <a:ln>
                      <a:noFill/>
                    </a:ln>
                  </pic:spPr>
                </pic:pic>
              </a:graphicData>
            </a:graphic>
          </wp:inline>
        </w:drawing>
      </w:r>
    </w:p>
    <w:p w14:paraId="3FDF23D8" w14:textId="77777777" w:rsidR="0099576B" w:rsidRPr="00301D2B" w:rsidRDefault="0099576B" w:rsidP="0099576B">
      <w:pPr>
        <w:pStyle w:val="Heading5"/>
        <w:rPr>
          <w:rFonts w:eastAsia="Times New Roman"/>
          <w:sz w:val="24"/>
          <w:szCs w:val="24"/>
        </w:rPr>
      </w:pPr>
      <w:r w:rsidRPr="00301D2B">
        <w:rPr>
          <w:rFonts w:eastAsia="Times New Roman"/>
          <w:b/>
          <w:bCs/>
        </w:rPr>
        <w:t xml:space="preserve">Figure 8: Tetrazine Samples Treated at 75- </w:t>
      </w:r>
      <w:r w:rsidRPr="00301D2B">
        <w:rPr>
          <w:rFonts w:eastAsia="Times New Roman"/>
        </w:rPr>
        <w:t>Measured on HPLC, Tetrazine indicated no signs of conjugation in the water samples and samples in 1:1 water to DMF</w:t>
      </w:r>
    </w:p>
    <w:p w14:paraId="7AB654C6" w14:textId="77777777" w:rsidR="0099576B" w:rsidRDefault="0099576B" w:rsidP="004102F2"/>
    <w:p w14:paraId="26FA7AA5" w14:textId="614D48AF" w:rsidR="004102F2" w:rsidRDefault="00301D2B" w:rsidP="004102F2">
      <w:r>
        <w:rPr>
          <w:rFonts w:ascii="Arial" w:hAnsi="Arial" w:cs="Arial"/>
          <w:noProof/>
          <w:color w:val="000000"/>
          <w:bdr w:val="none" w:sz="0" w:space="0" w:color="auto" w:frame="1"/>
        </w:rPr>
        <w:lastRenderedPageBreak/>
        <w:drawing>
          <wp:inline distT="0" distB="0" distL="0" distR="0" wp14:anchorId="64A2F00E" wp14:editId="1313C682">
            <wp:extent cx="5943600" cy="4678680"/>
            <wp:effectExtent l="0" t="0" r="0" b="762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678680"/>
                    </a:xfrm>
                    <a:prstGeom prst="rect">
                      <a:avLst/>
                    </a:prstGeom>
                    <a:noFill/>
                    <a:ln>
                      <a:noFill/>
                    </a:ln>
                  </pic:spPr>
                </pic:pic>
              </a:graphicData>
            </a:graphic>
          </wp:inline>
        </w:drawing>
      </w:r>
    </w:p>
    <w:p w14:paraId="740F7F7C" w14:textId="77777777" w:rsidR="0099576B" w:rsidRPr="00301D2B" w:rsidRDefault="0099576B" w:rsidP="0099576B">
      <w:pPr>
        <w:pStyle w:val="Heading5"/>
        <w:rPr>
          <w:rFonts w:eastAsia="Times New Roman"/>
          <w:sz w:val="24"/>
          <w:szCs w:val="24"/>
        </w:rPr>
      </w:pPr>
      <w:r w:rsidRPr="00301D2B">
        <w:rPr>
          <w:rFonts w:eastAsia="Times New Roman"/>
          <w:b/>
          <w:bCs/>
        </w:rPr>
        <w:t xml:space="preserve">Figure 9: Maleimide Samples Treated at 75- </w:t>
      </w:r>
      <w:r w:rsidRPr="00301D2B">
        <w:rPr>
          <w:rFonts w:eastAsia="Times New Roman"/>
        </w:rPr>
        <w:t>Measured on HPLC, Maleimide indicated no signs of conjugation in the water samples and samples in 1:1 water to DMF</w:t>
      </w:r>
    </w:p>
    <w:p w14:paraId="6CEA5017" w14:textId="77777777" w:rsidR="0099576B" w:rsidRPr="004102F2" w:rsidRDefault="0099576B" w:rsidP="004102F2"/>
    <w:p w14:paraId="0ACC8D6B" w14:textId="71F37653" w:rsidR="00E9439F" w:rsidRDefault="00A82AF1" w:rsidP="0034209D">
      <w:pPr>
        <w:pStyle w:val="Heading2"/>
        <w:spacing w:before="360" w:beforeAutospacing="0" w:after="120" w:afterAutospacing="0"/>
        <w:rPr>
          <w:b w:val="0"/>
          <w:bCs w:val="0"/>
          <w:color w:val="000000"/>
          <w:sz w:val="32"/>
          <w:szCs w:val="32"/>
        </w:rPr>
      </w:pPr>
      <w:bookmarkStart w:id="75" w:name="_Toc101972240"/>
      <w:bookmarkStart w:id="76" w:name="_Toc101973805"/>
      <w:bookmarkStart w:id="77" w:name="_Toc101987656"/>
      <w:bookmarkStart w:id="78" w:name="_Toc101989080"/>
      <w:bookmarkStart w:id="79" w:name="_Toc102048572"/>
      <w:r>
        <w:rPr>
          <w:rFonts w:ascii="Arial" w:hAnsi="Arial" w:cs="Arial"/>
          <w:noProof/>
          <w:color w:val="000000"/>
          <w:sz w:val="22"/>
          <w:szCs w:val="22"/>
          <w:bdr w:val="none" w:sz="0" w:space="0" w:color="auto" w:frame="1"/>
        </w:rPr>
        <w:lastRenderedPageBreak/>
        <w:drawing>
          <wp:inline distT="0" distB="0" distL="0" distR="0" wp14:anchorId="097D55A9" wp14:editId="062C70E3">
            <wp:extent cx="5943600" cy="4678680"/>
            <wp:effectExtent l="0" t="0" r="0" b="762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678680"/>
                    </a:xfrm>
                    <a:prstGeom prst="rect">
                      <a:avLst/>
                    </a:prstGeom>
                    <a:noFill/>
                    <a:ln>
                      <a:noFill/>
                    </a:ln>
                  </pic:spPr>
                </pic:pic>
              </a:graphicData>
            </a:graphic>
          </wp:inline>
        </w:drawing>
      </w:r>
      <w:bookmarkEnd w:id="75"/>
      <w:bookmarkEnd w:id="76"/>
      <w:bookmarkEnd w:id="77"/>
      <w:bookmarkEnd w:id="78"/>
      <w:bookmarkEnd w:id="79"/>
    </w:p>
    <w:p w14:paraId="6F3FD700" w14:textId="7AF59D72" w:rsidR="00A82AF1" w:rsidRDefault="00A82AF1" w:rsidP="00A82AF1">
      <w:pPr>
        <w:pStyle w:val="Heading5"/>
        <w:rPr>
          <w:rFonts w:eastAsia="Times New Roman"/>
        </w:rPr>
      </w:pPr>
      <w:r w:rsidRPr="00A82AF1">
        <w:rPr>
          <w:rFonts w:eastAsia="Times New Roman"/>
          <w:b/>
          <w:bCs/>
        </w:rPr>
        <w:t>Figure 10: Male</w:t>
      </w:r>
      <w:r w:rsidR="0099576B">
        <w:rPr>
          <w:rFonts w:eastAsia="Times New Roman"/>
          <w:b/>
          <w:bCs/>
        </w:rPr>
        <w:t>i</w:t>
      </w:r>
      <w:r w:rsidRPr="00A82AF1">
        <w:rPr>
          <w:rFonts w:eastAsia="Times New Roman"/>
          <w:b/>
          <w:bCs/>
        </w:rPr>
        <w:t xml:space="preserve">mide Samples Treated at 35- </w:t>
      </w:r>
      <w:r w:rsidRPr="00A82AF1">
        <w:rPr>
          <w:rFonts w:eastAsia="Times New Roman"/>
        </w:rPr>
        <w:t>Measured on HPLC, Male</w:t>
      </w:r>
      <w:r w:rsidR="0099576B">
        <w:rPr>
          <w:rFonts w:eastAsia="Times New Roman"/>
        </w:rPr>
        <w:t>i</w:t>
      </w:r>
      <w:r w:rsidRPr="00A82AF1">
        <w:rPr>
          <w:rFonts w:eastAsia="Times New Roman"/>
        </w:rPr>
        <w:t>mide indicated no signs of conjugation in the water samples and samples in 1:1 water to DMF</w:t>
      </w:r>
    </w:p>
    <w:p w14:paraId="3BA61028" w14:textId="6CC69E2D" w:rsidR="0099576B" w:rsidRDefault="0099576B" w:rsidP="0099576B"/>
    <w:p w14:paraId="1AAF27C6" w14:textId="56BC66DA" w:rsidR="0099576B" w:rsidRDefault="0099576B" w:rsidP="0099576B"/>
    <w:p w14:paraId="14C2AE16" w14:textId="03E13BFB" w:rsidR="0099576B" w:rsidRDefault="0099576B" w:rsidP="0099576B"/>
    <w:p w14:paraId="72C6AC40" w14:textId="77777777" w:rsidR="0099576B" w:rsidRPr="0099576B" w:rsidRDefault="0099576B" w:rsidP="0099576B"/>
    <w:p w14:paraId="240F4165" w14:textId="68F51554" w:rsidR="00A82AF1" w:rsidRDefault="00A82AF1" w:rsidP="0034209D">
      <w:pPr>
        <w:pStyle w:val="Heading2"/>
        <w:spacing w:before="360" w:beforeAutospacing="0" w:after="120" w:afterAutospacing="0"/>
        <w:rPr>
          <w:b w:val="0"/>
          <w:bCs w:val="0"/>
          <w:color w:val="000000"/>
          <w:sz w:val="32"/>
          <w:szCs w:val="32"/>
        </w:rPr>
      </w:pPr>
      <w:bookmarkStart w:id="80" w:name="_Toc101972241"/>
      <w:bookmarkStart w:id="81" w:name="_Toc101973806"/>
      <w:bookmarkStart w:id="82" w:name="_Toc101987657"/>
      <w:bookmarkStart w:id="83" w:name="_Toc101989081"/>
      <w:bookmarkStart w:id="84" w:name="_Toc102048573"/>
      <w:r>
        <w:rPr>
          <w:rFonts w:ascii="Arial" w:hAnsi="Arial" w:cs="Arial"/>
          <w:noProof/>
          <w:color w:val="000000"/>
          <w:sz w:val="22"/>
          <w:szCs w:val="22"/>
          <w:bdr w:val="none" w:sz="0" w:space="0" w:color="auto" w:frame="1"/>
        </w:rPr>
        <w:lastRenderedPageBreak/>
        <w:drawing>
          <wp:inline distT="0" distB="0" distL="0" distR="0" wp14:anchorId="254E47DA" wp14:editId="47FA6315">
            <wp:extent cx="5943600" cy="2369820"/>
            <wp:effectExtent l="0" t="0" r="0" b="0"/>
            <wp:docPr id="22"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369820"/>
                    </a:xfrm>
                    <a:prstGeom prst="rect">
                      <a:avLst/>
                    </a:prstGeom>
                    <a:noFill/>
                    <a:ln>
                      <a:noFill/>
                    </a:ln>
                  </pic:spPr>
                </pic:pic>
              </a:graphicData>
            </a:graphic>
          </wp:inline>
        </w:drawing>
      </w:r>
      <w:bookmarkEnd w:id="80"/>
      <w:bookmarkEnd w:id="81"/>
      <w:bookmarkEnd w:id="82"/>
      <w:bookmarkEnd w:id="83"/>
      <w:bookmarkEnd w:id="84"/>
    </w:p>
    <w:p w14:paraId="1D40298F" w14:textId="0565B9F2" w:rsidR="00D5313F" w:rsidRDefault="00D5313F" w:rsidP="0034209D">
      <w:pPr>
        <w:pStyle w:val="Heading2"/>
        <w:spacing w:before="360" w:beforeAutospacing="0" w:after="120" w:afterAutospacing="0"/>
        <w:rPr>
          <w:b w:val="0"/>
          <w:bCs w:val="0"/>
          <w:color w:val="000000"/>
          <w:sz w:val="32"/>
          <w:szCs w:val="32"/>
        </w:rPr>
      </w:pPr>
      <w:bookmarkStart w:id="85" w:name="_Toc101972242"/>
      <w:bookmarkStart w:id="86" w:name="_Toc101973807"/>
      <w:bookmarkStart w:id="87" w:name="_Toc101987658"/>
      <w:bookmarkStart w:id="88" w:name="_Toc101989082"/>
      <w:bookmarkStart w:id="89" w:name="_Toc102048574"/>
      <w:r>
        <w:rPr>
          <w:rFonts w:ascii="Arial" w:hAnsi="Arial" w:cs="Arial"/>
          <w:noProof/>
          <w:color w:val="000000"/>
          <w:sz w:val="22"/>
          <w:szCs w:val="22"/>
          <w:bdr w:val="none" w:sz="0" w:space="0" w:color="auto" w:frame="1"/>
        </w:rPr>
        <w:drawing>
          <wp:inline distT="0" distB="0" distL="0" distR="0" wp14:anchorId="33743EB9" wp14:editId="17552CA3">
            <wp:extent cx="5524500" cy="1059180"/>
            <wp:effectExtent l="0" t="0" r="0" b="762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4500" cy="1059180"/>
                    </a:xfrm>
                    <a:prstGeom prst="rect">
                      <a:avLst/>
                    </a:prstGeom>
                    <a:noFill/>
                    <a:ln>
                      <a:noFill/>
                    </a:ln>
                  </pic:spPr>
                </pic:pic>
              </a:graphicData>
            </a:graphic>
          </wp:inline>
        </w:drawing>
      </w:r>
      <w:bookmarkEnd w:id="85"/>
      <w:bookmarkEnd w:id="86"/>
      <w:bookmarkEnd w:id="87"/>
      <w:bookmarkEnd w:id="88"/>
      <w:bookmarkEnd w:id="89"/>
    </w:p>
    <w:p w14:paraId="60C3E57B" w14:textId="64CE8D49" w:rsidR="00D5313F" w:rsidRDefault="00D5313F" w:rsidP="00D5313F">
      <w:pPr>
        <w:pStyle w:val="Heading5"/>
        <w:rPr>
          <w:rFonts w:eastAsia="Times New Roman"/>
          <w:u w:val="single"/>
        </w:rPr>
      </w:pPr>
      <w:r w:rsidRPr="00D5313F">
        <w:rPr>
          <w:rFonts w:eastAsia="Times New Roman"/>
          <w:b/>
          <w:bCs/>
        </w:rPr>
        <w:t xml:space="preserve">Figure 11: </w:t>
      </w:r>
      <w:proofErr w:type="spellStart"/>
      <w:r w:rsidRPr="00D5313F">
        <w:rPr>
          <w:rFonts w:eastAsia="Times New Roman"/>
          <w:b/>
          <w:bCs/>
        </w:rPr>
        <w:t>VdU</w:t>
      </w:r>
      <w:proofErr w:type="spellEnd"/>
      <w:r w:rsidRPr="00D5313F">
        <w:rPr>
          <w:rFonts w:eastAsia="Times New Roman"/>
          <w:b/>
          <w:bCs/>
        </w:rPr>
        <w:t xml:space="preserve"> Nucleoside Treated with Maleimide Top to Bottom- Control, Increased Maleimide in 1:1 DMSO.</w:t>
      </w:r>
      <w:r w:rsidRPr="00D5313F">
        <w:rPr>
          <w:rFonts w:eastAsia="Times New Roman"/>
        </w:rPr>
        <w:t xml:space="preserve"> Stand-alone nucleotide </w:t>
      </w:r>
      <w:proofErr w:type="spellStart"/>
      <w:r w:rsidRPr="00D5313F">
        <w:rPr>
          <w:rFonts w:eastAsia="Times New Roman"/>
        </w:rPr>
        <w:t>VdU</w:t>
      </w:r>
      <w:proofErr w:type="spellEnd"/>
      <w:r w:rsidRPr="00D5313F">
        <w:rPr>
          <w:rFonts w:eastAsia="Times New Roman"/>
        </w:rPr>
        <w:t xml:space="preserve"> was demonstrated to have potential conjugation with FAM-Maleimide labels in 1:1 DMSO to water. FAM-Maleimide is demonstrated to elute at approximately 33 min and fluoresces at 450 nm (see spectra). Conjugation is indicated through a decreased height of peaks between controls, low concentration, and high concentration of FAM-Maleimide with the same concentration of </w:t>
      </w:r>
      <w:proofErr w:type="spellStart"/>
      <w:r w:rsidRPr="00D5313F">
        <w:rPr>
          <w:rFonts w:eastAsia="Times New Roman"/>
        </w:rPr>
        <w:t>VdU</w:t>
      </w:r>
      <w:proofErr w:type="spellEnd"/>
      <w:r w:rsidRPr="00D5313F">
        <w:rPr>
          <w:rFonts w:eastAsia="Times New Roman"/>
        </w:rPr>
        <w:t xml:space="preserve">. Panel A: </w:t>
      </w:r>
      <w:proofErr w:type="spellStart"/>
      <w:r w:rsidRPr="00D5313F">
        <w:rPr>
          <w:rFonts w:eastAsia="Times New Roman"/>
        </w:rPr>
        <w:t>VdU</w:t>
      </w:r>
      <w:proofErr w:type="spellEnd"/>
      <w:r w:rsidRPr="00D5313F">
        <w:rPr>
          <w:rFonts w:eastAsia="Times New Roman"/>
        </w:rPr>
        <w:t xml:space="preserve"> with no maleimide added had a height of 2766.4 </w:t>
      </w:r>
      <w:proofErr w:type="spellStart"/>
      <w:r w:rsidRPr="00D5313F">
        <w:rPr>
          <w:rFonts w:eastAsia="Times New Roman"/>
        </w:rPr>
        <w:t>mAU</w:t>
      </w:r>
      <w:proofErr w:type="spellEnd"/>
      <w:r w:rsidRPr="00D5313F">
        <w:rPr>
          <w:rFonts w:eastAsia="Times New Roman"/>
        </w:rPr>
        <w:t xml:space="preserve">. Panel B: </w:t>
      </w:r>
      <w:proofErr w:type="spellStart"/>
      <w:r w:rsidRPr="00D5313F">
        <w:rPr>
          <w:rFonts w:eastAsia="Times New Roman"/>
        </w:rPr>
        <w:t>VdU</w:t>
      </w:r>
      <w:proofErr w:type="spellEnd"/>
      <w:r w:rsidRPr="00D5313F">
        <w:rPr>
          <w:rFonts w:eastAsia="Times New Roman"/>
        </w:rPr>
        <w:t xml:space="preserve"> with 50 </w:t>
      </w:r>
      <w:proofErr w:type="spellStart"/>
      <w:r w:rsidRPr="00D5313F">
        <w:rPr>
          <w:rFonts w:eastAsia="Times New Roman"/>
        </w:rPr>
        <w:t>ul</w:t>
      </w:r>
      <w:proofErr w:type="spellEnd"/>
      <w:r w:rsidRPr="00D5313F">
        <w:rPr>
          <w:rFonts w:eastAsia="Times New Roman"/>
        </w:rPr>
        <w:t xml:space="preserve"> of Maleimide had a height of 354.7 </w:t>
      </w:r>
      <w:proofErr w:type="spellStart"/>
      <w:r w:rsidRPr="00D5313F">
        <w:rPr>
          <w:rFonts w:eastAsia="Times New Roman"/>
        </w:rPr>
        <w:t>mAU</w:t>
      </w:r>
      <w:proofErr w:type="spellEnd"/>
      <w:r w:rsidRPr="00D5313F">
        <w:rPr>
          <w:rFonts w:eastAsia="Times New Roman"/>
        </w:rPr>
        <w:t xml:space="preserve">. Panel C: </w:t>
      </w:r>
      <w:proofErr w:type="spellStart"/>
      <w:r w:rsidRPr="00D5313F">
        <w:rPr>
          <w:rFonts w:eastAsia="Times New Roman"/>
        </w:rPr>
        <w:t>VdU</w:t>
      </w:r>
      <w:proofErr w:type="spellEnd"/>
      <w:r w:rsidRPr="00D5313F">
        <w:rPr>
          <w:rFonts w:eastAsia="Times New Roman"/>
        </w:rPr>
        <w:t xml:space="preserve"> with 75 </w:t>
      </w:r>
      <w:proofErr w:type="spellStart"/>
      <w:r w:rsidRPr="00D5313F">
        <w:rPr>
          <w:rFonts w:eastAsia="Times New Roman"/>
        </w:rPr>
        <w:t>ul</w:t>
      </w:r>
      <w:proofErr w:type="spellEnd"/>
      <w:r w:rsidRPr="00D5313F">
        <w:rPr>
          <w:rFonts w:eastAsia="Times New Roman"/>
        </w:rPr>
        <w:t xml:space="preserve"> of Maleimide had a height of 180.6 </w:t>
      </w:r>
      <w:proofErr w:type="spellStart"/>
      <w:r w:rsidRPr="00D5313F">
        <w:rPr>
          <w:rFonts w:eastAsia="Times New Roman"/>
        </w:rPr>
        <w:t>mAU</w:t>
      </w:r>
      <w:proofErr w:type="spellEnd"/>
      <w:r w:rsidRPr="00D5313F">
        <w:rPr>
          <w:rFonts w:eastAsia="Times New Roman"/>
        </w:rPr>
        <w:t xml:space="preserve">. </w:t>
      </w:r>
      <w:r w:rsidRPr="00D5313F">
        <w:rPr>
          <w:rFonts w:eastAsia="Times New Roman"/>
          <w:u w:val="single"/>
        </w:rPr>
        <w:t>Overall Incorporation showed a maximum of a 93% decrease.</w:t>
      </w:r>
    </w:p>
    <w:p w14:paraId="630F09BA" w14:textId="37FDDEE9" w:rsidR="00D5313F" w:rsidRDefault="00D5313F" w:rsidP="00D5313F"/>
    <w:p w14:paraId="215D62D8" w14:textId="3BFD3B57" w:rsidR="0099576B" w:rsidRDefault="0099576B" w:rsidP="00D5313F"/>
    <w:p w14:paraId="7CDA5271" w14:textId="5E99B116" w:rsidR="0099576B" w:rsidRDefault="0099576B" w:rsidP="00D5313F"/>
    <w:p w14:paraId="492B7288" w14:textId="22D5A792" w:rsidR="0099576B" w:rsidRDefault="0099576B" w:rsidP="00D5313F"/>
    <w:p w14:paraId="798A4F8C" w14:textId="4A1AA0F3" w:rsidR="0099576B" w:rsidRDefault="0099576B" w:rsidP="00D5313F"/>
    <w:p w14:paraId="7A9D641D" w14:textId="0316A493" w:rsidR="0099576B" w:rsidRDefault="0099576B" w:rsidP="00D5313F"/>
    <w:p w14:paraId="16B44E95" w14:textId="1E375FEF" w:rsidR="0099576B" w:rsidRDefault="0099576B" w:rsidP="00D5313F"/>
    <w:p w14:paraId="4D6807F9" w14:textId="2B06C57B" w:rsidR="0099576B" w:rsidRDefault="0099576B" w:rsidP="00D5313F"/>
    <w:p w14:paraId="3DD2DA59" w14:textId="5D0F59ED" w:rsidR="0099576B" w:rsidRDefault="0099576B" w:rsidP="00D5313F"/>
    <w:p w14:paraId="30F9D1E2" w14:textId="77777777" w:rsidR="0099576B" w:rsidRDefault="0099576B" w:rsidP="00D5313F"/>
    <w:p w14:paraId="1D1E44D1" w14:textId="173FCC20" w:rsidR="00D5313F" w:rsidRDefault="00D5313F" w:rsidP="00D5313F">
      <w:r>
        <w:rPr>
          <w:rFonts w:ascii="Arial" w:hAnsi="Arial" w:cs="Arial"/>
          <w:noProof/>
          <w:color w:val="000000"/>
          <w:bdr w:val="none" w:sz="0" w:space="0" w:color="auto" w:frame="1"/>
        </w:rPr>
        <w:lastRenderedPageBreak/>
        <w:drawing>
          <wp:inline distT="0" distB="0" distL="0" distR="0" wp14:anchorId="07B28D08" wp14:editId="23B95006">
            <wp:extent cx="5943600" cy="2895600"/>
            <wp:effectExtent l="0" t="0" r="0" b="0"/>
            <wp:docPr id="24" name="Picture 2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imelin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p>
    <w:p w14:paraId="0586A838" w14:textId="26E04BFE" w:rsidR="00D5313F" w:rsidRDefault="00D5313F" w:rsidP="00D5313F">
      <w:r>
        <w:rPr>
          <w:rFonts w:ascii="Arial" w:hAnsi="Arial" w:cs="Arial"/>
          <w:noProof/>
          <w:color w:val="000000"/>
          <w:bdr w:val="none" w:sz="0" w:space="0" w:color="auto" w:frame="1"/>
        </w:rPr>
        <w:drawing>
          <wp:inline distT="0" distB="0" distL="0" distR="0" wp14:anchorId="341B5666" wp14:editId="14F9C17E">
            <wp:extent cx="5943600" cy="1524000"/>
            <wp:effectExtent l="0" t="0" r="0" b="0"/>
            <wp:docPr id="25" name="Picture 2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histo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524000"/>
                    </a:xfrm>
                    <a:prstGeom prst="rect">
                      <a:avLst/>
                    </a:prstGeom>
                    <a:noFill/>
                    <a:ln>
                      <a:noFill/>
                    </a:ln>
                  </pic:spPr>
                </pic:pic>
              </a:graphicData>
            </a:graphic>
          </wp:inline>
        </w:drawing>
      </w:r>
    </w:p>
    <w:p w14:paraId="3C99283A" w14:textId="77777777" w:rsidR="0099576B" w:rsidRPr="00D5313F" w:rsidRDefault="0099576B" w:rsidP="0099576B">
      <w:pPr>
        <w:pStyle w:val="Heading5"/>
      </w:pPr>
      <w:r>
        <w:rPr>
          <w:b/>
          <w:bCs/>
        </w:rPr>
        <w:t xml:space="preserve">Figure 12: </w:t>
      </w:r>
      <w:proofErr w:type="spellStart"/>
      <w:r>
        <w:rPr>
          <w:b/>
          <w:bCs/>
        </w:rPr>
        <w:t>VdU</w:t>
      </w:r>
      <w:proofErr w:type="spellEnd"/>
      <w:r>
        <w:rPr>
          <w:b/>
          <w:bCs/>
        </w:rPr>
        <w:t xml:space="preserve"> Nucleoside Treated with Tetrazine Top to Bottom- Control, Increased Tetrazine in 1:1 DMSO</w:t>
      </w:r>
      <w:r>
        <w:t xml:space="preserve">. Stand-alone nucleotide </w:t>
      </w:r>
      <w:proofErr w:type="spellStart"/>
      <w:r>
        <w:t>VdU</w:t>
      </w:r>
      <w:proofErr w:type="spellEnd"/>
      <w:r>
        <w:t xml:space="preserve"> was demonstrated to have potential conjugation with excess </w:t>
      </w:r>
      <w:proofErr w:type="spellStart"/>
      <w:r>
        <w:t>Tamra</w:t>
      </w:r>
      <w:proofErr w:type="spellEnd"/>
      <w:r>
        <w:t>-Tetrazine in 1:1 DMSO to water for approximately 36 min and fluoresces at 450 nm (see spectra). This conjugation was not as excessive as seen in maleimide due to less-intense fluorescence</w:t>
      </w:r>
    </w:p>
    <w:p w14:paraId="05D01FE6" w14:textId="77777777" w:rsidR="0099576B" w:rsidRDefault="0099576B" w:rsidP="00D5313F"/>
    <w:p w14:paraId="2A9B2F50" w14:textId="22F1A91F" w:rsidR="00D5313F" w:rsidRDefault="00501214" w:rsidP="0034209D">
      <w:pPr>
        <w:pStyle w:val="Heading2"/>
        <w:spacing w:before="360" w:beforeAutospacing="0" w:after="120" w:afterAutospacing="0"/>
        <w:rPr>
          <w:b w:val="0"/>
          <w:bCs w:val="0"/>
          <w:color w:val="000000"/>
          <w:sz w:val="32"/>
          <w:szCs w:val="32"/>
        </w:rPr>
      </w:pPr>
      <w:bookmarkStart w:id="90" w:name="_Toc101972243"/>
      <w:bookmarkStart w:id="91" w:name="_Toc101973808"/>
      <w:bookmarkStart w:id="92" w:name="_Toc101987659"/>
      <w:bookmarkStart w:id="93" w:name="_Toc101989083"/>
      <w:bookmarkStart w:id="94" w:name="_Toc102048575"/>
      <w:r>
        <w:rPr>
          <w:rFonts w:ascii="Arial" w:hAnsi="Arial" w:cs="Arial"/>
          <w:noProof/>
          <w:color w:val="000000"/>
          <w:sz w:val="22"/>
          <w:szCs w:val="22"/>
          <w:bdr w:val="none" w:sz="0" w:space="0" w:color="auto" w:frame="1"/>
        </w:rPr>
        <w:lastRenderedPageBreak/>
        <w:drawing>
          <wp:inline distT="0" distB="0" distL="0" distR="0" wp14:anchorId="76969F61" wp14:editId="7D087CD7">
            <wp:extent cx="4343400" cy="2827020"/>
            <wp:effectExtent l="0" t="0" r="0" b="0"/>
            <wp:docPr id="26" name="Picture 2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3400" cy="2827020"/>
                    </a:xfrm>
                    <a:prstGeom prst="rect">
                      <a:avLst/>
                    </a:prstGeom>
                    <a:noFill/>
                    <a:ln>
                      <a:noFill/>
                    </a:ln>
                  </pic:spPr>
                </pic:pic>
              </a:graphicData>
            </a:graphic>
          </wp:inline>
        </w:drawing>
      </w:r>
      <w:bookmarkEnd w:id="90"/>
      <w:bookmarkEnd w:id="91"/>
      <w:bookmarkEnd w:id="92"/>
      <w:bookmarkEnd w:id="93"/>
      <w:bookmarkEnd w:id="94"/>
    </w:p>
    <w:p w14:paraId="54F74750" w14:textId="33A74915" w:rsidR="000E4F92" w:rsidRDefault="00501214" w:rsidP="000E4F92">
      <w:pPr>
        <w:pStyle w:val="Heading5"/>
        <w:rPr>
          <w:rFonts w:eastAsia="Times New Roman"/>
        </w:rPr>
      </w:pPr>
      <w:r w:rsidRPr="00501214">
        <w:rPr>
          <w:rFonts w:eastAsia="Times New Roman"/>
          <w:b/>
          <w:bCs/>
        </w:rPr>
        <w:t xml:space="preserve">Figure 13: Proposed Maleimide DNA Conjugate </w:t>
      </w:r>
      <w:r w:rsidRPr="00501214">
        <w:rPr>
          <w:rFonts w:eastAsia="Times New Roman"/>
        </w:rPr>
        <w:t xml:space="preserve">Based on the equivalent maleimide reactivity towards RNA here, the proposed mechanism for how conjugates, DNA, and </w:t>
      </w:r>
      <w:proofErr w:type="gramStart"/>
      <w:r w:rsidRPr="00501214">
        <w:rPr>
          <w:rFonts w:eastAsia="Times New Roman"/>
        </w:rPr>
        <w:t>Fluorescent</w:t>
      </w:r>
      <w:proofErr w:type="gramEnd"/>
      <w:r w:rsidRPr="00501214">
        <w:rPr>
          <w:rFonts w:eastAsia="Times New Roman"/>
        </w:rPr>
        <w:t xml:space="preserve"> dye will look for mass spec analysis </w:t>
      </w:r>
    </w:p>
    <w:p w14:paraId="33AB6A3E" w14:textId="5217AE87" w:rsidR="0099576B" w:rsidRDefault="0099576B" w:rsidP="0099576B"/>
    <w:p w14:paraId="718F615C" w14:textId="2E33FE96" w:rsidR="0099576B" w:rsidRDefault="0099576B" w:rsidP="0099576B"/>
    <w:p w14:paraId="1BBA95B0" w14:textId="0CF83AB1" w:rsidR="0099576B" w:rsidRDefault="0099576B" w:rsidP="0099576B"/>
    <w:p w14:paraId="29F0585E" w14:textId="562BD08D" w:rsidR="0099576B" w:rsidRDefault="0099576B" w:rsidP="0099576B"/>
    <w:p w14:paraId="69EC9327" w14:textId="76D248CF" w:rsidR="0099576B" w:rsidRDefault="0099576B" w:rsidP="0099576B"/>
    <w:p w14:paraId="7C40229C" w14:textId="3A27C32D" w:rsidR="0099576B" w:rsidRDefault="0099576B" w:rsidP="0099576B"/>
    <w:p w14:paraId="227765BF" w14:textId="16606DFE" w:rsidR="0099576B" w:rsidRDefault="0099576B" w:rsidP="0099576B"/>
    <w:p w14:paraId="0C686465" w14:textId="77777777" w:rsidR="0099576B" w:rsidRPr="0099576B" w:rsidRDefault="0099576B" w:rsidP="0099576B"/>
    <w:p w14:paraId="2BF1D87D" w14:textId="5D6709FE" w:rsidR="00501214" w:rsidRDefault="000E4F92" w:rsidP="0034209D">
      <w:pPr>
        <w:pStyle w:val="Heading2"/>
        <w:spacing w:before="360" w:beforeAutospacing="0" w:after="120" w:afterAutospacing="0"/>
        <w:rPr>
          <w:b w:val="0"/>
          <w:bCs w:val="0"/>
          <w:color w:val="000000"/>
          <w:sz w:val="32"/>
          <w:szCs w:val="32"/>
        </w:rPr>
      </w:pPr>
      <w:bookmarkStart w:id="95" w:name="_Toc101972244"/>
      <w:bookmarkStart w:id="96" w:name="_Toc101973809"/>
      <w:bookmarkStart w:id="97" w:name="_Toc101987660"/>
      <w:bookmarkStart w:id="98" w:name="_Toc101989084"/>
      <w:bookmarkStart w:id="99" w:name="_Toc102048576"/>
      <w:r>
        <w:rPr>
          <w:rFonts w:ascii="Arial" w:hAnsi="Arial" w:cs="Arial"/>
          <w:noProof/>
          <w:color w:val="000000"/>
          <w:sz w:val="22"/>
          <w:szCs w:val="22"/>
          <w:bdr w:val="none" w:sz="0" w:space="0" w:color="auto" w:frame="1"/>
        </w:rPr>
        <w:lastRenderedPageBreak/>
        <w:drawing>
          <wp:inline distT="0" distB="0" distL="0" distR="0" wp14:anchorId="1F50FF05" wp14:editId="29EF539A">
            <wp:extent cx="5943600" cy="2781300"/>
            <wp:effectExtent l="0" t="0" r="0" b="0"/>
            <wp:docPr id="27" name="Picture 2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imeline&#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1796" b="11354"/>
                    <a:stretch/>
                  </pic:blipFill>
                  <pic:spPr bwMode="auto">
                    <a:xfrm>
                      <a:off x="0" y="0"/>
                      <a:ext cx="5943600" cy="2781300"/>
                    </a:xfrm>
                    <a:prstGeom prst="rect">
                      <a:avLst/>
                    </a:prstGeom>
                    <a:noFill/>
                    <a:ln>
                      <a:noFill/>
                    </a:ln>
                    <a:extLst>
                      <a:ext uri="{53640926-AAD7-44D8-BBD7-CCE9431645EC}">
                        <a14:shadowObscured xmlns:a14="http://schemas.microsoft.com/office/drawing/2010/main"/>
                      </a:ext>
                    </a:extLst>
                  </pic:spPr>
                </pic:pic>
              </a:graphicData>
            </a:graphic>
          </wp:inline>
        </w:drawing>
      </w:r>
      <w:bookmarkEnd w:id="95"/>
      <w:bookmarkEnd w:id="96"/>
      <w:bookmarkEnd w:id="97"/>
      <w:bookmarkEnd w:id="98"/>
      <w:bookmarkEnd w:id="99"/>
    </w:p>
    <w:p w14:paraId="2DB9F43F" w14:textId="5F550008" w:rsidR="00690EA9" w:rsidRDefault="00690EA9" w:rsidP="00690EA9">
      <w:pPr>
        <w:pStyle w:val="Heading5"/>
        <w:rPr>
          <w:rFonts w:eastAsia="Times New Roman"/>
        </w:rPr>
      </w:pPr>
      <w:r w:rsidRPr="00690EA9">
        <w:rPr>
          <w:rFonts w:eastAsia="Times New Roman"/>
          <w:b/>
          <w:bCs/>
        </w:rPr>
        <w:t>Figure 14: Maleimide Treated DNA in 1:1 Water to DMSO.</w:t>
      </w:r>
      <w:r w:rsidRPr="00690EA9">
        <w:rPr>
          <w:rFonts w:eastAsia="Times New Roman"/>
        </w:rPr>
        <w:t xml:space="preserve"> DNA was treated with excess Maleimide 1:1 DMSO to water at 37C. No signs of fluorescence or conjugation as indicated with non-incorporated </w:t>
      </w:r>
      <w:proofErr w:type="spellStart"/>
      <w:r w:rsidRPr="00690EA9">
        <w:rPr>
          <w:rFonts w:eastAsia="Times New Roman"/>
        </w:rPr>
        <w:t>VdU</w:t>
      </w:r>
      <w:proofErr w:type="spellEnd"/>
      <w:r w:rsidRPr="00690EA9">
        <w:rPr>
          <w:rFonts w:eastAsia="Times New Roman"/>
        </w:rPr>
        <w:t xml:space="preserve"> nucleoside </w:t>
      </w:r>
    </w:p>
    <w:p w14:paraId="5AEF1716" w14:textId="4D322E04" w:rsidR="0099576B" w:rsidRDefault="0099576B" w:rsidP="0099576B"/>
    <w:p w14:paraId="191C20C1" w14:textId="77777777" w:rsidR="0099576B" w:rsidRDefault="0099576B" w:rsidP="0099576B"/>
    <w:p w14:paraId="6764A6C0" w14:textId="3F0C0B21" w:rsidR="0099576B" w:rsidRDefault="0099576B" w:rsidP="0099576B"/>
    <w:p w14:paraId="4C13C9C7" w14:textId="77777777" w:rsidR="0099576B" w:rsidRDefault="0099576B" w:rsidP="0099576B"/>
    <w:p w14:paraId="73F10C36" w14:textId="7B5FEF49" w:rsidR="0099576B" w:rsidRDefault="0099576B" w:rsidP="0099576B"/>
    <w:p w14:paraId="2A6BAC4E" w14:textId="0AB5E75D" w:rsidR="0099576B" w:rsidRDefault="0099576B" w:rsidP="0099576B"/>
    <w:p w14:paraId="670A163C" w14:textId="7EF86CC9" w:rsidR="00690EA9" w:rsidRDefault="00690EA9" w:rsidP="0034209D">
      <w:pPr>
        <w:pStyle w:val="Heading2"/>
        <w:spacing w:before="360" w:beforeAutospacing="0" w:after="120" w:afterAutospacing="0"/>
        <w:rPr>
          <w:b w:val="0"/>
          <w:bCs w:val="0"/>
          <w:color w:val="000000"/>
          <w:sz w:val="32"/>
          <w:szCs w:val="32"/>
        </w:rPr>
      </w:pPr>
      <w:bookmarkStart w:id="100" w:name="_Toc101972245"/>
      <w:bookmarkStart w:id="101" w:name="_Toc101973810"/>
      <w:bookmarkStart w:id="102" w:name="_Toc101987661"/>
      <w:bookmarkStart w:id="103" w:name="_Toc101989085"/>
      <w:bookmarkStart w:id="104" w:name="_Toc102048577"/>
      <w:r>
        <w:rPr>
          <w:rFonts w:ascii="Arial" w:hAnsi="Arial" w:cs="Arial"/>
          <w:noProof/>
          <w:color w:val="000000"/>
          <w:sz w:val="22"/>
          <w:szCs w:val="22"/>
          <w:bdr w:val="none" w:sz="0" w:space="0" w:color="auto" w:frame="1"/>
        </w:rPr>
        <w:lastRenderedPageBreak/>
        <w:drawing>
          <wp:anchor distT="0" distB="0" distL="114300" distR="114300" simplePos="0" relativeHeight="251660800" behindDoc="0" locked="0" layoutInCell="1" allowOverlap="1" wp14:anchorId="6CEC63EF" wp14:editId="76F5C276">
            <wp:simplePos x="0" y="0"/>
            <wp:positionH relativeFrom="margin">
              <wp:align>right</wp:align>
            </wp:positionH>
            <wp:positionV relativeFrom="paragraph">
              <wp:posOffset>0</wp:posOffset>
            </wp:positionV>
            <wp:extent cx="6503670" cy="2951480"/>
            <wp:effectExtent l="0" t="0" r="0" b="1270"/>
            <wp:wrapSquare wrapText="bothSides"/>
            <wp:docPr id="28" name="Picture 2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03670" cy="29514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00"/>
      <w:bookmarkEnd w:id="101"/>
      <w:bookmarkEnd w:id="102"/>
      <w:bookmarkEnd w:id="103"/>
      <w:bookmarkEnd w:id="104"/>
    </w:p>
    <w:p w14:paraId="75394D6B" w14:textId="5C6379F2" w:rsidR="00690EA9" w:rsidRPr="00690EA9" w:rsidRDefault="00690EA9" w:rsidP="00690EA9">
      <w:pPr>
        <w:pStyle w:val="Heading5"/>
        <w:rPr>
          <w:rFonts w:eastAsia="Times New Roman"/>
          <w:sz w:val="24"/>
          <w:szCs w:val="24"/>
        </w:rPr>
      </w:pPr>
      <w:r w:rsidRPr="00690EA9">
        <w:rPr>
          <w:rFonts w:eastAsia="Times New Roman"/>
          <w:b/>
          <w:bCs/>
        </w:rPr>
        <w:t xml:space="preserve">Figure 15: </w:t>
      </w:r>
      <w:proofErr w:type="spellStart"/>
      <w:r w:rsidRPr="00690EA9">
        <w:rPr>
          <w:rFonts w:eastAsia="Times New Roman"/>
          <w:b/>
          <w:bCs/>
        </w:rPr>
        <w:t>dI</w:t>
      </w:r>
      <w:proofErr w:type="spellEnd"/>
      <w:r w:rsidRPr="00690EA9">
        <w:rPr>
          <w:rFonts w:eastAsia="Times New Roman"/>
          <w:b/>
          <w:bCs/>
        </w:rPr>
        <w:t xml:space="preserve"> </w:t>
      </w:r>
      <w:r w:rsidR="00D45C98" w:rsidRPr="00690EA9">
        <w:rPr>
          <w:rFonts w:eastAsia="Times New Roman"/>
          <w:b/>
          <w:bCs/>
        </w:rPr>
        <w:t>Glycosylase</w:t>
      </w:r>
      <w:r w:rsidRPr="00690EA9">
        <w:rPr>
          <w:rFonts w:eastAsia="Times New Roman"/>
          <w:b/>
          <w:bCs/>
        </w:rPr>
        <w:t xml:space="preserve"> Treatment Top to Bottom- </w:t>
      </w:r>
      <w:proofErr w:type="spellStart"/>
      <w:r w:rsidRPr="00690EA9">
        <w:rPr>
          <w:rFonts w:eastAsia="Times New Roman"/>
          <w:b/>
          <w:bCs/>
        </w:rPr>
        <w:t>Abasic</w:t>
      </w:r>
      <w:proofErr w:type="spellEnd"/>
      <w:r w:rsidRPr="00690EA9">
        <w:rPr>
          <w:rFonts w:eastAsia="Times New Roman"/>
          <w:b/>
          <w:bCs/>
        </w:rPr>
        <w:t xml:space="preserve"> Control, </w:t>
      </w:r>
      <w:proofErr w:type="spellStart"/>
      <w:r w:rsidRPr="00690EA9">
        <w:rPr>
          <w:rFonts w:eastAsia="Times New Roman"/>
          <w:b/>
          <w:bCs/>
        </w:rPr>
        <w:t>dI</w:t>
      </w:r>
      <w:proofErr w:type="spellEnd"/>
      <w:r w:rsidRPr="00690EA9">
        <w:rPr>
          <w:rFonts w:eastAsia="Times New Roman"/>
          <w:b/>
          <w:bCs/>
        </w:rPr>
        <w:t xml:space="preserve"> Control, Un-Treated </w:t>
      </w:r>
      <w:proofErr w:type="spellStart"/>
      <w:r w:rsidRPr="00690EA9">
        <w:rPr>
          <w:rFonts w:eastAsia="Times New Roman"/>
          <w:b/>
          <w:bCs/>
        </w:rPr>
        <w:t>dI</w:t>
      </w:r>
      <w:proofErr w:type="spellEnd"/>
      <w:r w:rsidRPr="00690EA9">
        <w:rPr>
          <w:rFonts w:eastAsia="Times New Roman"/>
          <w:b/>
          <w:bCs/>
        </w:rPr>
        <w:t xml:space="preserve"> DNA, Glycosylase Treated DI DNA at Standard Conditions.</w:t>
      </w:r>
      <w:r w:rsidRPr="00690EA9">
        <w:rPr>
          <w:rFonts w:eastAsia="Times New Roman"/>
        </w:rPr>
        <w:t xml:space="preserve"> The glycosylase used for this experiment is supposed to recognize non-natural nucleotides such as </w:t>
      </w:r>
      <w:proofErr w:type="spellStart"/>
      <w:r w:rsidRPr="00690EA9">
        <w:rPr>
          <w:rFonts w:eastAsia="Times New Roman"/>
        </w:rPr>
        <w:t>dI</w:t>
      </w:r>
      <w:proofErr w:type="spellEnd"/>
      <w:r w:rsidRPr="00690EA9">
        <w:rPr>
          <w:rFonts w:eastAsia="Times New Roman"/>
        </w:rPr>
        <w:t>, removing the inosine to create an a-basic site. In both standard conditions and doubled glycosylase with increased incubation time, there was no distinct sign of the creation of an a-basic site. </w:t>
      </w:r>
    </w:p>
    <w:p w14:paraId="53229E99" w14:textId="77777777" w:rsidR="00203069" w:rsidRDefault="00203069" w:rsidP="001C24D8">
      <w:pPr>
        <w:pStyle w:val="Heading2"/>
        <w:spacing w:before="360" w:beforeAutospacing="0" w:after="120" w:afterAutospacing="0"/>
        <w:rPr>
          <w:b w:val="0"/>
          <w:bCs w:val="0"/>
          <w:color w:val="000000"/>
          <w:sz w:val="32"/>
          <w:szCs w:val="32"/>
        </w:rPr>
      </w:pPr>
      <w:bookmarkStart w:id="105" w:name="_Toc101972246"/>
    </w:p>
    <w:p w14:paraId="7CFBDF98" w14:textId="77777777" w:rsidR="00203069" w:rsidRDefault="00203069" w:rsidP="001C24D8">
      <w:pPr>
        <w:pStyle w:val="Heading2"/>
        <w:spacing w:before="360" w:beforeAutospacing="0" w:after="120" w:afterAutospacing="0"/>
        <w:rPr>
          <w:b w:val="0"/>
          <w:bCs w:val="0"/>
          <w:color w:val="000000"/>
          <w:sz w:val="32"/>
          <w:szCs w:val="32"/>
        </w:rPr>
      </w:pPr>
    </w:p>
    <w:p w14:paraId="3B6D759B" w14:textId="77777777" w:rsidR="00203069" w:rsidRDefault="00203069" w:rsidP="001C24D8">
      <w:pPr>
        <w:pStyle w:val="Heading2"/>
        <w:spacing w:before="360" w:beforeAutospacing="0" w:after="120" w:afterAutospacing="0"/>
        <w:rPr>
          <w:b w:val="0"/>
          <w:bCs w:val="0"/>
          <w:color w:val="000000"/>
          <w:sz w:val="32"/>
          <w:szCs w:val="32"/>
        </w:rPr>
      </w:pPr>
    </w:p>
    <w:p w14:paraId="1363DC68" w14:textId="77777777" w:rsidR="00203069" w:rsidRDefault="00203069" w:rsidP="001C24D8">
      <w:pPr>
        <w:pStyle w:val="Heading2"/>
        <w:spacing w:before="360" w:beforeAutospacing="0" w:after="120" w:afterAutospacing="0"/>
        <w:rPr>
          <w:b w:val="0"/>
          <w:bCs w:val="0"/>
          <w:color w:val="000000"/>
          <w:sz w:val="32"/>
          <w:szCs w:val="32"/>
        </w:rPr>
      </w:pPr>
    </w:p>
    <w:p w14:paraId="3D3DBFB4" w14:textId="77777777" w:rsidR="00203069" w:rsidRDefault="00203069" w:rsidP="001C24D8">
      <w:pPr>
        <w:pStyle w:val="Heading2"/>
        <w:spacing w:before="360" w:beforeAutospacing="0" w:after="120" w:afterAutospacing="0"/>
        <w:rPr>
          <w:b w:val="0"/>
          <w:bCs w:val="0"/>
          <w:color w:val="000000"/>
          <w:sz w:val="32"/>
          <w:szCs w:val="32"/>
        </w:rPr>
      </w:pPr>
    </w:p>
    <w:p w14:paraId="3975779E" w14:textId="20EFF86E" w:rsidR="003F7631" w:rsidRDefault="003F7631" w:rsidP="00CC2633">
      <w:pPr>
        <w:pStyle w:val="Heading1"/>
        <w:rPr>
          <w:sz w:val="40"/>
          <w:szCs w:val="40"/>
        </w:rPr>
      </w:pPr>
    </w:p>
    <w:p w14:paraId="311A5E84" w14:textId="77777777" w:rsidR="003F7631" w:rsidRPr="003F7631" w:rsidRDefault="003F7631" w:rsidP="003F7631"/>
    <w:p w14:paraId="32CCDC63" w14:textId="161625FF" w:rsidR="00AD1AA1" w:rsidRPr="00CC2633" w:rsidRDefault="0034209D" w:rsidP="00CC2633">
      <w:pPr>
        <w:pStyle w:val="Heading1"/>
        <w:rPr>
          <w:sz w:val="40"/>
          <w:szCs w:val="40"/>
        </w:rPr>
      </w:pPr>
      <w:bookmarkStart w:id="106" w:name="_Toc102048578"/>
      <w:r w:rsidRPr="00CC2633">
        <w:rPr>
          <w:sz w:val="40"/>
          <w:szCs w:val="40"/>
        </w:rPr>
        <w:lastRenderedPageBreak/>
        <w:t>References</w:t>
      </w:r>
      <w:bookmarkEnd w:id="105"/>
      <w:bookmarkEnd w:id="106"/>
    </w:p>
    <w:p w14:paraId="72C866E4" w14:textId="227CD641" w:rsidR="00F25920" w:rsidRPr="00F25920" w:rsidRDefault="00F25920" w:rsidP="00F25920">
      <w:pPr>
        <w:spacing w:before="100" w:beforeAutospacing="1" w:after="100" w:afterAutospacing="1" w:line="240" w:lineRule="auto"/>
        <w:ind w:left="567" w:hanging="567"/>
        <w:rPr>
          <w:rFonts w:ascii="Times New Roman" w:eastAsia="Times New Roman" w:hAnsi="Times New Roman" w:cs="Times New Roman"/>
          <w:sz w:val="24"/>
          <w:szCs w:val="24"/>
        </w:rPr>
      </w:pPr>
      <w:r w:rsidRPr="00F25920">
        <w:rPr>
          <w:rFonts w:ascii="Times New Roman" w:eastAsia="Times New Roman" w:hAnsi="Times New Roman" w:cs="Times New Roman"/>
          <w:sz w:val="24"/>
          <w:szCs w:val="24"/>
        </w:rPr>
        <w:t>B</w:t>
      </w:r>
      <w:r>
        <w:rPr>
          <w:rFonts w:ascii="Times New Roman" w:eastAsia="Times New Roman" w:hAnsi="Times New Roman" w:cs="Times New Roman"/>
          <w:sz w:val="24"/>
          <w:szCs w:val="24"/>
        </w:rPr>
        <w:t>i</w:t>
      </w:r>
      <w:r w:rsidRPr="00F25920">
        <w:rPr>
          <w:rFonts w:ascii="Times New Roman" w:eastAsia="Times New Roman" w:hAnsi="Times New Roman" w:cs="Times New Roman"/>
          <w:sz w:val="24"/>
          <w:szCs w:val="24"/>
        </w:rPr>
        <w:t xml:space="preserve">anco, J. N., Poli, J., </w:t>
      </w:r>
      <w:proofErr w:type="spellStart"/>
      <w:r w:rsidRPr="00F25920">
        <w:rPr>
          <w:rFonts w:ascii="Times New Roman" w:eastAsia="Times New Roman" w:hAnsi="Times New Roman" w:cs="Times New Roman"/>
          <w:sz w:val="24"/>
          <w:szCs w:val="24"/>
        </w:rPr>
        <w:t>Saksouk</w:t>
      </w:r>
      <w:proofErr w:type="spellEnd"/>
      <w:r w:rsidRPr="00F25920">
        <w:rPr>
          <w:rFonts w:ascii="Times New Roman" w:eastAsia="Times New Roman" w:hAnsi="Times New Roman" w:cs="Times New Roman"/>
          <w:sz w:val="24"/>
          <w:szCs w:val="24"/>
        </w:rPr>
        <w:t xml:space="preserve">, J., </w:t>
      </w:r>
      <w:proofErr w:type="spellStart"/>
      <w:r w:rsidRPr="00F25920">
        <w:rPr>
          <w:rFonts w:ascii="Times New Roman" w:eastAsia="Times New Roman" w:hAnsi="Times New Roman" w:cs="Times New Roman"/>
          <w:sz w:val="24"/>
          <w:szCs w:val="24"/>
        </w:rPr>
        <w:t>Bacal</w:t>
      </w:r>
      <w:proofErr w:type="spellEnd"/>
      <w:r w:rsidRPr="00F25920">
        <w:rPr>
          <w:rFonts w:ascii="Times New Roman" w:eastAsia="Times New Roman" w:hAnsi="Times New Roman" w:cs="Times New Roman"/>
          <w:sz w:val="24"/>
          <w:szCs w:val="24"/>
        </w:rPr>
        <w:t xml:space="preserve">, J., Silva, M. J., Yoshida, K., Lin, Y.-L., </w:t>
      </w:r>
      <w:proofErr w:type="spellStart"/>
      <w:r w:rsidRPr="00F25920">
        <w:rPr>
          <w:rFonts w:ascii="Times New Roman" w:eastAsia="Times New Roman" w:hAnsi="Times New Roman" w:cs="Times New Roman"/>
          <w:sz w:val="24"/>
          <w:szCs w:val="24"/>
        </w:rPr>
        <w:t>Tourrière</w:t>
      </w:r>
      <w:proofErr w:type="spellEnd"/>
      <w:r w:rsidRPr="00F25920">
        <w:rPr>
          <w:rFonts w:ascii="Times New Roman" w:eastAsia="Times New Roman" w:hAnsi="Times New Roman" w:cs="Times New Roman"/>
          <w:sz w:val="24"/>
          <w:szCs w:val="24"/>
        </w:rPr>
        <w:t xml:space="preserve">, H., </w:t>
      </w:r>
      <w:proofErr w:type="spellStart"/>
      <w:r w:rsidRPr="00F25920">
        <w:rPr>
          <w:rFonts w:ascii="Times New Roman" w:eastAsia="Times New Roman" w:hAnsi="Times New Roman" w:cs="Times New Roman"/>
          <w:sz w:val="24"/>
          <w:szCs w:val="24"/>
        </w:rPr>
        <w:t>Lengronne</w:t>
      </w:r>
      <w:proofErr w:type="spellEnd"/>
      <w:r w:rsidRPr="00F25920">
        <w:rPr>
          <w:rFonts w:ascii="Times New Roman" w:eastAsia="Times New Roman" w:hAnsi="Times New Roman" w:cs="Times New Roman"/>
          <w:sz w:val="24"/>
          <w:szCs w:val="24"/>
        </w:rPr>
        <w:t xml:space="preserve">, A., &amp; </w:t>
      </w:r>
      <w:proofErr w:type="spellStart"/>
      <w:r w:rsidRPr="00F25920">
        <w:rPr>
          <w:rFonts w:ascii="Times New Roman" w:eastAsia="Times New Roman" w:hAnsi="Times New Roman" w:cs="Times New Roman"/>
          <w:sz w:val="24"/>
          <w:szCs w:val="24"/>
        </w:rPr>
        <w:t>Pasero</w:t>
      </w:r>
      <w:proofErr w:type="spellEnd"/>
      <w:r w:rsidRPr="00F25920">
        <w:rPr>
          <w:rFonts w:ascii="Times New Roman" w:eastAsia="Times New Roman" w:hAnsi="Times New Roman" w:cs="Times New Roman"/>
          <w:sz w:val="24"/>
          <w:szCs w:val="24"/>
        </w:rPr>
        <w:t xml:space="preserve">, P. (2012). Analysis of DNA replication profiles in budding yeast and mammalian cells using DNA combing. </w:t>
      </w:r>
      <w:r w:rsidRPr="00F25920">
        <w:rPr>
          <w:rFonts w:ascii="Times New Roman" w:eastAsia="Times New Roman" w:hAnsi="Times New Roman" w:cs="Times New Roman"/>
          <w:i/>
          <w:iCs/>
          <w:sz w:val="24"/>
          <w:szCs w:val="24"/>
        </w:rPr>
        <w:t>Methods</w:t>
      </w:r>
      <w:r w:rsidRPr="00F25920">
        <w:rPr>
          <w:rFonts w:ascii="Times New Roman" w:eastAsia="Times New Roman" w:hAnsi="Times New Roman" w:cs="Times New Roman"/>
          <w:sz w:val="24"/>
          <w:szCs w:val="24"/>
        </w:rPr>
        <w:t xml:space="preserve">, </w:t>
      </w:r>
      <w:r w:rsidRPr="00F25920">
        <w:rPr>
          <w:rFonts w:ascii="Times New Roman" w:eastAsia="Times New Roman" w:hAnsi="Times New Roman" w:cs="Times New Roman"/>
          <w:i/>
          <w:iCs/>
          <w:sz w:val="24"/>
          <w:szCs w:val="24"/>
        </w:rPr>
        <w:t>57</w:t>
      </w:r>
      <w:r w:rsidRPr="00F25920">
        <w:rPr>
          <w:rFonts w:ascii="Times New Roman" w:eastAsia="Times New Roman" w:hAnsi="Times New Roman" w:cs="Times New Roman"/>
          <w:sz w:val="24"/>
          <w:szCs w:val="24"/>
        </w:rPr>
        <w:t xml:space="preserve">(2), 149–157. https://doi.org/10.1016/j.ymeth.2012.04.007 </w:t>
      </w:r>
    </w:p>
    <w:p w14:paraId="1A2534C4" w14:textId="49418CEE" w:rsidR="00FC5B50" w:rsidRPr="001C24D8" w:rsidRDefault="00FC5B50" w:rsidP="00E1302D">
      <w:pPr>
        <w:pStyle w:val="NormalWeb"/>
        <w:spacing w:before="0" w:beforeAutospacing="0" w:after="240" w:afterAutospacing="0"/>
        <w:ind w:left="720" w:hanging="720"/>
        <w:textAlignment w:val="baseline"/>
        <w:rPr>
          <w:color w:val="000000"/>
        </w:rPr>
      </w:pPr>
      <w:proofErr w:type="spellStart"/>
      <w:r w:rsidRPr="001C24D8">
        <w:rPr>
          <w:color w:val="000000"/>
        </w:rPr>
        <w:t>Czajkowsky</w:t>
      </w:r>
      <w:proofErr w:type="spellEnd"/>
      <w:r w:rsidRPr="001C24D8">
        <w:rPr>
          <w:color w:val="000000"/>
        </w:rPr>
        <w:t xml:space="preserve">, D. M., Liu, J., Hamlin, J. L., &amp; Shao, Z. (2008). DNA combing reveals intrinsic temporal disorder in the replication of yeast chromosome vi. </w:t>
      </w:r>
      <w:r w:rsidRPr="001C24D8">
        <w:rPr>
          <w:i/>
          <w:iCs/>
          <w:color w:val="000000"/>
        </w:rPr>
        <w:t>Journal of Molecular Biology,</w:t>
      </w:r>
      <w:r w:rsidRPr="001C24D8">
        <w:rPr>
          <w:color w:val="000000"/>
        </w:rPr>
        <w:t xml:space="preserve"> </w:t>
      </w:r>
      <w:r w:rsidRPr="001C24D8">
        <w:rPr>
          <w:i/>
          <w:iCs/>
          <w:color w:val="000000"/>
        </w:rPr>
        <w:t>375</w:t>
      </w:r>
      <w:r w:rsidRPr="001C24D8">
        <w:rPr>
          <w:color w:val="000000"/>
        </w:rPr>
        <w:t xml:space="preserve">(1), 12-19. </w:t>
      </w:r>
      <w:proofErr w:type="gramStart"/>
      <w:r w:rsidRPr="001C24D8">
        <w:rPr>
          <w:color w:val="000000"/>
        </w:rPr>
        <w:t>doi:10.1016/j.jmb</w:t>
      </w:r>
      <w:proofErr w:type="gramEnd"/>
      <w:r w:rsidRPr="001C24D8">
        <w:rPr>
          <w:color w:val="000000"/>
        </w:rPr>
        <w:t>.2007.10.046</w:t>
      </w:r>
    </w:p>
    <w:p w14:paraId="2065F508" w14:textId="77777777" w:rsidR="00FC5B50" w:rsidRPr="001C24D8" w:rsidRDefault="00FC5B50" w:rsidP="00E1302D">
      <w:pPr>
        <w:pStyle w:val="ListParagraph"/>
        <w:spacing w:before="100" w:beforeAutospacing="1" w:after="240" w:line="240" w:lineRule="auto"/>
        <w:ind w:hanging="720"/>
        <w:rPr>
          <w:rFonts w:ascii="Times New Roman" w:eastAsia="Times New Roman" w:hAnsi="Times New Roman" w:cs="Times New Roman"/>
          <w:sz w:val="24"/>
          <w:szCs w:val="24"/>
        </w:rPr>
      </w:pPr>
      <w:r w:rsidRPr="001C24D8">
        <w:rPr>
          <w:rFonts w:ascii="Times New Roman" w:eastAsia="Times New Roman" w:hAnsi="Times New Roman" w:cs="Times New Roman"/>
          <w:sz w:val="24"/>
          <w:szCs w:val="24"/>
        </w:rPr>
        <w:t xml:space="preserve">De Carli, F., Menezes, N., </w:t>
      </w:r>
      <w:proofErr w:type="spellStart"/>
      <w:r w:rsidRPr="001C24D8">
        <w:rPr>
          <w:rFonts w:ascii="Times New Roman" w:eastAsia="Times New Roman" w:hAnsi="Times New Roman" w:cs="Times New Roman"/>
          <w:sz w:val="24"/>
          <w:szCs w:val="24"/>
        </w:rPr>
        <w:t>Berrabah</w:t>
      </w:r>
      <w:proofErr w:type="spellEnd"/>
      <w:r w:rsidRPr="001C24D8">
        <w:rPr>
          <w:rFonts w:ascii="Times New Roman" w:eastAsia="Times New Roman" w:hAnsi="Times New Roman" w:cs="Times New Roman"/>
          <w:sz w:val="24"/>
          <w:szCs w:val="24"/>
        </w:rPr>
        <w:t xml:space="preserve">, W., Barbe, V., </w:t>
      </w:r>
      <w:proofErr w:type="spellStart"/>
      <w:r w:rsidRPr="001C24D8">
        <w:rPr>
          <w:rFonts w:ascii="Times New Roman" w:eastAsia="Times New Roman" w:hAnsi="Times New Roman" w:cs="Times New Roman"/>
          <w:sz w:val="24"/>
          <w:szCs w:val="24"/>
        </w:rPr>
        <w:t>Genovesio</w:t>
      </w:r>
      <w:proofErr w:type="spellEnd"/>
      <w:r w:rsidRPr="001C24D8">
        <w:rPr>
          <w:rFonts w:ascii="Times New Roman" w:eastAsia="Times New Roman" w:hAnsi="Times New Roman" w:cs="Times New Roman"/>
          <w:sz w:val="24"/>
          <w:szCs w:val="24"/>
        </w:rPr>
        <w:t xml:space="preserve">, A., &amp; </w:t>
      </w:r>
      <w:proofErr w:type="spellStart"/>
      <w:r w:rsidRPr="001C24D8">
        <w:rPr>
          <w:rFonts w:ascii="Times New Roman" w:eastAsia="Times New Roman" w:hAnsi="Times New Roman" w:cs="Times New Roman"/>
          <w:sz w:val="24"/>
          <w:szCs w:val="24"/>
        </w:rPr>
        <w:t>Hyrien</w:t>
      </w:r>
      <w:proofErr w:type="spellEnd"/>
      <w:r w:rsidRPr="001C24D8">
        <w:rPr>
          <w:rFonts w:ascii="Times New Roman" w:eastAsia="Times New Roman" w:hAnsi="Times New Roman" w:cs="Times New Roman"/>
          <w:sz w:val="24"/>
          <w:szCs w:val="24"/>
        </w:rPr>
        <w:t xml:space="preserve">, O. (2018). High-throughput optical mapping of replicating DNA. </w:t>
      </w:r>
      <w:r w:rsidRPr="001C24D8">
        <w:rPr>
          <w:rFonts w:ascii="Times New Roman" w:eastAsia="Times New Roman" w:hAnsi="Times New Roman" w:cs="Times New Roman"/>
          <w:i/>
          <w:iCs/>
          <w:sz w:val="24"/>
          <w:szCs w:val="24"/>
        </w:rPr>
        <w:t>Small Methods</w:t>
      </w:r>
      <w:r w:rsidRPr="001C24D8">
        <w:rPr>
          <w:rFonts w:ascii="Times New Roman" w:eastAsia="Times New Roman" w:hAnsi="Times New Roman" w:cs="Times New Roman"/>
          <w:sz w:val="24"/>
          <w:szCs w:val="24"/>
        </w:rPr>
        <w:t xml:space="preserve">, </w:t>
      </w:r>
      <w:r w:rsidRPr="001C24D8">
        <w:rPr>
          <w:rFonts w:ascii="Times New Roman" w:eastAsia="Times New Roman" w:hAnsi="Times New Roman" w:cs="Times New Roman"/>
          <w:i/>
          <w:iCs/>
          <w:sz w:val="24"/>
          <w:szCs w:val="24"/>
        </w:rPr>
        <w:t>2</w:t>
      </w:r>
      <w:r w:rsidRPr="001C24D8">
        <w:rPr>
          <w:rFonts w:ascii="Times New Roman" w:eastAsia="Times New Roman" w:hAnsi="Times New Roman" w:cs="Times New Roman"/>
          <w:sz w:val="24"/>
          <w:szCs w:val="24"/>
        </w:rPr>
        <w:t xml:space="preserve">(9), 1800146. https://doi.org/10.1002/smtd.201800146 </w:t>
      </w:r>
    </w:p>
    <w:p w14:paraId="027605BB" w14:textId="77777777" w:rsidR="00FC5B50" w:rsidRPr="001C24D8" w:rsidRDefault="00FC5B50" w:rsidP="00E1302D">
      <w:pPr>
        <w:pStyle w:val="ListParagraph"/>
        <w:spacing w:before="100" w:beforeAutospacing="1" w:after="240" w:line="240" w:lineRule="auto"/>
        <w:ind w:hanging="720"/>
        <w:rPr>
          <w:rFonts w:ascii="Times New Roman" w:eastAsia="Times New Roman" w:hAnsi="Times New Roman" w:cs="Times New Roman"/>
          <w:sz w:val="24"/>
          <w:szCs w:val="24"/>
        </w:rPr>
      </w:pPr>
      <w:proofErr w:type="spellStart"/>
      <w:r w:rsidRPr="001C24D8">
        <w:rPr>
          <w:rFonts w:ascii="Times New Roman" w:eastAsia="Times New Roman" w:hAnsi="Times New Roman" w:cs="Times New Roman"/>
          <w:sz w:val="24"/>
          <w:szCs w:val="24"/>
        </w:rPr>
        <w:t>Gerbi</w:t>
      </w:r>
      <w:proofErr w:type="spellEnd"/>
      <w:r w:rsidRPr="001C24D8">
        <w:rPr>
          <w:rFonts w:ascii="Times New Roman" w:eastAsia="Times New Roman" w:hAnsi="Times New Roman" w:cs="Times New Roman"/>
          <w:sz w:val="24"/>
          <w:szCs w:val="24"/>
        </w:rPr>
        <w:t xml:space="preserve">, S. (2015). Faculty opinions recommendation of dynamic molecular combing: Stretching the whole human genome for high-resolution studies. </w:t>
      </w:r>
      <w:r w:rsidRPr="001C24D8">
        <w:rPr>
          <w:rFonts w:ascii="Times New Roman" w:eastAsia="Times New Roman" w:hAnsi="Times New Roman" w:cs="Times New Roman"/>
          <w:i/>
          <w:iCs/>
          <w:sz w:val="24"/>
          <w:szCs w:val="24"/>
        </w:rPr>
        <w:t>Faculty Opinions – Post-Publication Peer Review of the Biomedical Literature</w:t>
      </w:r>
      <w:r w:rsidRPr="001C24D8">
        <w:rPr>
          <w:rFonts w:ascii="Times New Roman" w:eastAsia="Times New Roman" w:hAnsi="Times New Roman" w:cs="Times New Roman"/>
          <w:sz w:val="24"/>
          <w:szCs w:val="24"/>
        </w:rPr>
        <w:t xml:space="preserve">. https://doi.org/10.3410/f.723294149.793503167 </w:t>
      </w:r>
    </w:p>
    <w:p w14:paraId="04C697E6" w14:textId="2FAA3C89" w:rsidR="00FC5B50" w:rsidRDefault="00FC5B50" w:rsidP="00E1302D">
      <w:pPr>
        <w:pStyle w:val="ListParagraph"/>
        <w:spacing w:before="100" w:beforeAutospacing="1" w:after="240" w:line="240" w:lineRule="auto"/>
        <w:ind w:hanging="720"/>
        <w:rPr>
          <w:rFonts w:ascii="Times New Roman" w:eastAsia="Times New Roman" w:hAnsi="Times New Roman" w:cs="Times New Roman"/>
          <w:sz w:val="24"/>
          <w:szCs w:val="24"/>
        </w:rPr>
      </w:pPr>
      <w:proofErr w:type="spellStart"/>
      <w:r w:rsidRPr="001C24D8">
        <w:rPr>
          <w:rFonts w:ascii="Times New Roman" w:eastAsia="Times New Roman" w:hAnsi="Times New Roman" w:cs="Times New Roman"/>
          <w:sz w:val="24"/>
          <w:szCs w:val="24"/>
        </w:rPr>
        <w:t>Gueroui</w:t>
      </w:r>
      <w:proofErr w:type="spellEnd"/>
      <w:r w:rsidRPr="001C24D8">
        <w:rPr>
          <w:rFonts w:ascii="Times New Roman" w:eastAsia="Times New Roman" w:hAnsi="Times New Roman" w:cs="Times New Roman"/>
          <w:sz w:val="24"/>
          <w:szCs w:val="24"/>
        </w:rPr>
        <w:t xml:space="preserve">, Z., Place, C., </w:t>
      </w:r>
      <w:proofErr w:type="spellStart"/>
      <w:r w:rsidRPr="001C24D8">
        <w:rPr>
          <w:rFonts w:ascii="Times New Roman" w:eastAsia="Times New Roman" w:hAnsi="Times New Roman" w:cs="Times New Roman"/>
          <w:sz w:val="24"/>
          <w:szCs w:val="24"/>
        </w:rPr>
        <w:t>Freyssingeas</w:t>
      </w:r>
      <w:proofErr w:type="spellEnd"/>
      <w:r w:rsidRPr="001C24D8">
        <w:rPr>
          <w:rFonts w:ascii="Times New Roman" w:eastAsia="Times New Roman" w:hAnsi="Times New Roman" w:cs="Times New Roman"/>
          <w:sz w:val="24"/>
          <w:szCs w:val="24"/>
        </w:rPr>
        <w:t xml:space="preserve">, E., &amp; Berge, B. (2002). Observation by fluorescence microscopy of transcription on single combed DNA. </w:t>
      </w:r>
      <w:r w:rsidRPr="001C24D8">
        <w:rPr>
          <w:rFonts w:ascii="Times New Roman" w:eastAsia="Times New Roman" w:hAnsi="Times New Roman" w:cs="Times New Roman"/>
          <w:i/>
          <w:iCs/>
          <w:sz w:val="24"/>
          <w:szCs w:val="24"/>
        </w:rPr>
        <w:t>Proceedings of the National Academy of Sciences</w:t>
      </w:r>
      <w:r w:rsidRPr="001C24D8">
        <w:rPr>
          <w:rFonts w:ascii="Times New Roman" w:eastAsia="Times New Roman" w:hAnsi="Times New Roman" w:cs="Times New Roman"/>
          <w:sz w:val="24"/>
          <w:szCs w:val="24"/>
        </w:rPr>
        <w:t xml:space="preserve">, </w:t>
      </w:r>
      <w:r w:rsidRPr="001C24D8">
        <w:rPr>
          <w:rFonts w:ascii="Times New Roman" w:eastAsia="Times New Roman" w:hAnsi="Times New Roman" w:cs="Times New Roman"/>
          <w:i/>
          <w:iCs/>
          <w:sz w:val="24"/>
          <w:szCs w:val="24"/>
        </w:rPr>
        <w:t>99</w:t>
      </w:r>
      <w:r w:rsidRPr="001C24D8">
        <w:rPr>
          <w:rFonts w:ascii="Times New Roman" w:eastAsia="Times New Roman" w:hAnsi="Times New Roman" w:cs="Times New Roman"/>
          <w:sz w:val="24"/>
          <w:szCs w:val="24"/>
        </w:rPr>
        <w:t xml:space="preserve">(9), 6005–6010. https://doi.org/10.1073/pnas.092561399 </w:t>
      </w:r>
    </w:p>
    <w:p w14:paraId="30E12CA3" w14:textId="4771DA52" w:rsidR="002611AD" w:rsidRPr="002611AD" w:rsidRDefault="002611AD" w:rsidP="002611AD">
      <w:pPr>
        <w:spacing w:before="100" w:beforeAutospacing="1" w:after="100" w:afterAutospacing="1" w:line="240" w:lineRule="auto"/>
        <w:ind w:left="567" w:hanging="567"/>
        <w:rPr>
          <w:rFonts w:ascii="Times New Roman" w:eastAsia="Times New Roman" w:hAnsi="Times New Roman" w:cs="Times New Roman"/>
          <w:sz w:val="24"/>
          <w:szCs w:val="24"/>
        </w:rPr>
      </w:pPr>
      <w:r w:rsidRPr="002611AD">
        <w:rPr>
          <w:rFonts w:ascii="Times New Roman" w:eastAsia="Times New Roman" w:hAnsi="Times New Roman" w:cs="Times New Roman"/>
          <w:i/>
          <w:iCs/>
          <w:sz w:val="24"/>
          <w:szCs w:val="24"/>
        </w:rPr>
        <w:t>Hela</w:t>
      </w:r>
      <w:r w:rsidRPr="002611AD">
        <w:rPr>
          <w:rFonts w:ascii="Times New Roman" w:eastAsia="Times New Roman" w:hAnsi="Times New Roman" w:cs="Times New Roman"/>
          <w:sz w:val="24"/>
          <w:szCs w:val="24"/>
        </w:rPr>
        <w:t xml:space="preserve">. ATCC. (n.d.). Retrieved April 28, 2022, from https://www.atcc.org/products/ccl-2 </w:t>
      </w:r>
    </w:p>
    <w:p w14:paraId="51BE188A" w14:textId="0F3C5A93" w:rsidR="00FC5B50" w:rsidRDefault="00FC5B50" w:rsidP="00E1302D">
      <w:pPr>
        <w:pStyle w:val="NormalWeb"/>
        <w:spacing w:before="0" w:beforeAutospacing="0" w:after="240" w:afterAutospacing="0"/>
        <w:ind w:left="720" w:hanging="720"/>
        <w:textAlignment w:val="baseline"/>
        <w:rPr>
          <w:color w:val="000000"/>
        </w:rPr>
      </w:pPr>
      <w:r w:rsidRPr="001C24D8">
        <w:rPr>
          <w:color w:val="000000"/>
        </w:rPr>
        <w:t xml:space="preserve">Huberman, J. (2006). Faculty opinions recommendation of DNA replication origins fire stochastically in fission yeast. </w:t>
      </w:r>
      <w:r w:rsidRPr="001C24D8">
        <w:rPr>
          <w:i/>
          <w:iCs/>
          <w:color w:val="000000"/>
        </w:rPr>
        <w:t>Faculty Opinions – Post-Publication Peer Review of the Biomedical Literature</w:t>
      </w:r>
      <w:r w:rsidRPr="001C24D8">
        <w:rPr>
          <w:color w:val="000000"/>
        </w:rPr>
        <w:t>. doi:10.3410/f.1032463.374720</w:t>
      </w:r>
    </w:p>
    <w:p w14:paraId="196B731A" w14:textId="42FA198F" w:rsidR="00FC5866" w:rsidRPr="00FC5866" w:rsidRDefault="00FC5866" w:rsidP="00FC5866">
      <w:pPr>
        <w:spacing w:before="100" w:beforeAutospacing="1" w:after="100" w:afterAutospacing="1" w:line="240" w:lineRule="auto"/>
        <w:ind w:left="567" w:hanging="567"/>
        <w:rPr>
          <w:rFonts w:ascii="Times New Roman" w:eastAsia="Times New Roman" w:hAnsi="Times New Roman" w:cs="Times New Roman"/>
          <w:sz w:val="24"/>
          <w:szCs w:val="24"/>
        </w:rPr>
      </w:pPr>
      <w:proofErr w:type="spellStart"/>
      <w:r w:rsidRPr="00FC5866">
        <w:rPr>
          <w:rFonts w:ascii="Times New Roman" w:eastAsia="Times New Roman" w:hAnsi="Times New Roman" w:cs="Times New Roman"/>
          <w:sz w:val="24"/>
          <w:szCs w:val="24"/>
        </w:rPr>
        <w:t>Jeffet</w:t>
      </w:r>
      <w:proofErr w:type="spellEnd"/>
      <w:r w:rsidRPr="00FC5866">
        <w:rPr>
          <w:rFonts w:ascii="Times New Roman" w:eastAsia="Times New Roman" w:hAnsi="Times New Roman" w:cs="Times New Roman"/>
          <w:sz w:val="24"/>
          <w:szCs w:val="24"/>
        </w:rPr>
        <w:t xml:space="preserve">, J., Margalit, S., </w:t>
      </w:r>
      <w:proofErr w:type="spellStart"/>
      <w:r w:rsidRPr="00FC5866">
        <w:rPr>
          <w:rFonts w:ascii="Times New Roman" w:eastAsia="Times New Roman" w:hAnsi="Times New Roman" w:cs="Times New Roman"/>
          <w:sz w:val="24"/>
          <w:szCs w:val="24"/>
        </w:rPr>
        <w:t>Michaeli</w:t>
      </w:r>
      <w:proofErr w:type="spellEnd"/>
      <w:r w:rsidRPr="00FC5866">
        <w:rPr>
          <w:rFonts w:ascii="Times New Roman" w:eastAsia="Times New Roman" w:hAnsi="Times New Roman" w:cs="Times New Roman"/>
          <w:sz w:val="24"/>
          <w:szCs w:val="24"/>
        </w:rPr>
        <w:t xml:space="preserve">, Y., &amp; </w:t>
      </w:r>
      <w:proofErr w:type="spellStart"/>
      <w:r w:rsidRPr="00FC5866">
        <w:rPr>
          <w:rFonts w:ascii="Times New Roman" w:eastAsia="Times New Roman" w:hAnsi="Times New Roman" w:cs="Times New Roman"/>
          <w:sz w:val="24"/>
          <w:szCs w:val="24"/>
        </w:rPr>
        <w:t>Ebenstein</w:t>
      </w:r>
      <w:proofErr w:type="spellEnd"/>
      <w:r w:rsidRPr="00FC5866">
        <w:rPr>
          <w:rFonts w:ascii="Times New Roman" w:eastAsia="Times New Roman" w:hAnsi="Times New Roman" w:cs="Times New Roman"/>
          <w:sz w:val="24"/>
          <w:szCs w:val="24"/>
        </w:rPr>
        <w:t xml:space="preserve">, Y. (2021). Single-Molecule Optical Genome Mapping in nanochannels: </w:t>
      </w:r>
      <w:proofErr w:type="spellStart"/>
      <w:r w:rsidRPr="00FC5866">
        <w:rPr>
          <w:rFonts w:ascii="Times New Roman" w:eastAsia="Times New Roman" w:hAnsi="Times New Roman" w:cs="Times New Roman"/>
          <w:sz w:val="24"/>
          <w:szCs w:val="24"/>
        </w:rPr>
        <w:t>Multidisciplinarity</w:t>
      </w:r>
      <w:proofErr w:type="spellEnd"/>
      <w:r w:rsidRPr="00FC5866">
        <w:rPr>
          <w:rFonts w:ascii="Times New Roman" w:eastAsia="Times New Roman" w:hAnsi="Times New Roman" w:cs="Times New Roman"/>
          <w:sz w:val="24"/>
          <w:szCs w:val="24"/>
        </w:rPr>
        <w:t xml:space="preserve"> at the nanoscale. </w:t>
      </w:r>
      <w:r w:rsidRPr="00FC5866">
        <w:rPr>
          <w:rFonts w:ascii="Times New Roman" w:eastAsia="Times New Roman" w:hAnsi="Times New Roman" w:cs="Times New Roman"/>
          <w:i/>
          <w:iCs/>
          <w:sz w:val="24"/>
          <w:szCs w:val="24"/>
        </w:rPr>
        <w:t>Essays in Biochemistry</w:t>
      </w:r>
      <w:r w:rsidRPr="00FC5866">
        <w:rPr>
          <w:rFonts w:ascii="Times New Roman" w:eastAsia="Times New Roman" w:hAnsi="Times New Roman" w:cs="Times New Roman"/>
          <w:sz w:val="24"/>
          <w:szCs w:val="24"/>
        </w:rPr>
        <w:t xml:space="preserve">, </w:t>
      </w:r>
      <w:r w:rsidRPr="00FC5866">
        <w:rPr>
          <w:rFonts w:ascii="Times New Roman" w:eastAsia="Times New Roman" w:hAnsi="Times New Roman" w:cs="Times New Roman"/>
          <w:i/>
          <w:iCs/>
          <w:sz w:val="24"/>
          <w:szCs w:val="24"/>
        </w:rPr>
        <w:t>65</w:t>
      </w:r>
      <w:r w:rsidRPr="00FC5866">
        <w:rPr>
          <w:rFonts w:ascii="Times New Roman" w:eastAsia="Times New Roman" w:hAnsi="Times New Roman" w:cs="Times New Roman"/>
          <w:sz w:val="24"/>
          <w:szCs w:val="24"/>
        </w:rPr>
        <w:t xml:space="preserve">(1), 51–66. https://doi.org/10.1042/ebc20200021 </w:t>
      </w:r>
    </w:p>
    <w:p w14:paraId="04C049A2" w14:textId="77777777" w:rsidR="00FC5B50" w:rsidRPr="001C24D8" w:rsidRDefault="00FC5B50" w:rsidP="00E1302D">
      <w:pPr>
        <w:pStyle w:val="NormalWeb"/>
        <w:spacing w:before="0" w:beforeAutospacing="0" w:after="240" w:afterAutospacing="0"/>
        <w:ind w:left="720" w:hanging="720"/>
        <w:textAlignment w:val="baseline"/>
        <w:rPr>
          <w:color w:val="000000"/>
        </w:rPr>
      </w:pPr>
      <w:proofErr w:type="spellStart"/>
      <w:r w:rsidRPr="001C24D8">
        <w:rPr>
          <w:color w:val="000000"/>
        </w:rPr>
        <w:t>MacAlpine</w:t>
      </w:r>
      <w:proofErr w:type="spellEnd"/>
      <w:r w:rsidRPr="001C24D8">
        <w:rPr>
          <w:color w:val="000000"/>
        </w:rPr>
        <w:t xml:space="preserve">, D. M. (2021). Stochastic initiation of DNA replication across the human genome. </w:t>
      </w:r>
      <w:r w:rsidRPr="001C24D8">
        <w:rPr>
          <w:i/>
          <w:iCs/>
          <w:color w:val="000000"/>
        </w:rPr>
        <w:t>Molecular Cell,</w:t>
      </w:r>
      <w:r w:rsidRPr="001C24D8">
        <w:rPr>
          <w:color w:val="000000"/>
        </w:rPr>
        <w:t xml:space="preserve"> </w:t>
      </w:r>
      <w:r w:rsidRPr="001C24D8">
        <w:rPr>
          <w:i/>
          <w:iCs/>
          <w:color w:val="000000"/>
        </w:rPr>
        <w:t>81</w:t>
      </w:r>
      <w:r w:rsidRPr="001C24D8">
        <w:rPr>
          <w:color w:val="000000"/>
        </w:rPr>
        <w:t xml:space="preserve">(14), 2873-2874. </w:t>
      </w:r>
      <w:proofErr w:type="gramStart"/>
      <w:r w:rsidRPr="001C24D8">
        <w:rPr>
          <w:color w:val="000000"/>
        </w:rPr>
        <w:t>doi:10.1016/j.molcel</w:t>
      </w:r>
      <w:proofErr w:type="gramEnd"/>
      <w:r w:rsidRPr="001C24D8">
        <w:rPr>
          <w:color w:val="000000"/>
        </w:rPr>
        <w:t>.2021.06.022</w:t>
      </w:r>
    </w:p>
    <w:p w14:paraId="5FD5786F" w14:textId="77777777" w:rsidR="00FC5B50" w:rsidRPr="001C24D8" w:rsidRDefault="00FC5B50" w:rsidP="00E1302D">
      <w:pPr>
        <w:pStyle w:val="NormalWeb"/>
        <w:spacing w:before="0" w:beforeAutospacing="0" w:after="240" w:afterAutospacing="0"/>
        <w:ind w:left="720" w:hanging="720"/>
        <w:textAlignment w:val="baseline"/>
        <w:rPr>
          <w:color w:val="000000"/>
        </w:rPr>
      </w:pPr>
      <w:proofErr w:type="spellStart"/>
      <w:r w:rsidRPr="001C24D8">
        <w:rPr>
          <w:color w:val="000000"/>
        </w:rPr>
        <w:t>Oshige</w:t>
      </w:r>
      <w:proofErr w:type="spellEnd"/>
      <w:r w:rsidRPr="001C24D8">
        <w:rPr>
          <w:color w:val="000000"/>
        </w:rPr>
        <w:t xml:space="preserve">, M., Yamaguchi, K., Matsuura, S., Kurita, H., Mizuno, A., &amp; Katsura, S. (2010). A new DNA combing method for biochemical analysis. </w:t>
      </w:r>
      <w:r w:rsidRPr="001C24D8">
        <w:rPr>
          <w:i/>
          <w:iCs/>
          <w:color w:val="000000"/>
        </w:rPr>
        <w:t>Analytical Biochemistry,</w:t>
      </w:r>
      <w:r w:rsidRPr="001C24D8">
        <w:rPr>
          <w:color w:val="000000"/>
        </w:rPr>
        <w:t xml:space="preserve"> </w:t>
      </w:r>
      <w:r w:rsidRPr="001C24D8">
        <w:rPr>
          <w:i/>
          <w:iCs/>
          <w:color w:val="000000"/>
        </w:rPr>
        <w:t>400</w:t>
      </w:r>
      <w:r w:rsidRPr="001C24D8">
        <w:rPr>
          <w:color w:val="000000"/>
        </w:rPr>
        <w:t>(1), 145-147. doi:10.1016/j.ab.2010.01.021</w:t>
      </w:r>
    </w:p>
    <w:p w14:paraId="1B7A1717" w14:textId="77777777" w:rsidR="00FC5B50" w:rsidRPr="001C24D8" w:rsidRDefault="00FC5B50" w:rsidP="00E1302D">
      <w:pPr>
        <w:pStyle w:val="ListParagraph"/>
        <w:spacing w:before="100" w:beforeAutospacing="1" w:after="240" w:line="240" w:lineRule="auto"/>
        <w:ind w:hanging="720"/>
        <w:rPr>
          <w:rFonts w:ascii="Times New Roman" w:eastAsia="Times New Roman" w:hAnsi="Times New Roman" w:cs="Times New Roman"/>
          <w:sz w:val="24"/>
          <w:szCs w:val="24"/>
        </w:rPr>
      </w:pPr>
      <w:r w:rsidRPr="001C24D8">
        <w:rPr>
          <w:rFonts w:ascii="Times New Roman" w:eastAsia="Times New Roman" w:hAnsi="Times New Roman" w:cs="Times New Roman"/>
          <w:sz w:val="24"/>
          <w:szCs w:val="24"/>
        </w:rPr>
        <w:t xml:space="preserve">Patel, P. K., Department of Biochemistry and Molecular Pharmacology, </w:t>
      </w:r>
      <w:proofErr w:type="spellStart"/>
      <w:r w:rsidRPr="001C24D8">
        <w:rPr>
          <w:rFonts w:ascii="Times New Roman" w:eastAsia="Times New Roman" w:hAnsi="Times New Roman" w:cs="Times New Roman"/>
          <w:sz w:val="24"/>
          <w:szCs w:val="24"/>
        </w:rPr>
        <w:t>Arcangioli</w:t>
      </w:r>
      <w:proofErr w:type="spellEnd"/>
      <w:r w:rsidRPr="001C24D8">
        <w:rPr>
          <w:rFonts w:ascii="Times New Roman" w:eastAsia="Times New Roman" w:hAnsi="Times New Roman" w:cs="Times New Roman"/>
          <w:sz w:val="24"/>
          <w:szCs w:val="24"/>
        </w:rPr>
        <w:t xml:space="preserve">, B., Unit, G. D., Baker, S. P., Services, D. of I., Bensimon, A., Unit, G. S., </w:t>
      </w:r>
      <w:proofErr w:type="spellStart"/>
      <w:r w:rsidRPr="001C24D8">
        <w:rPr>
          <w:rFonts w:ascii="Times New Roman" w:eastAsia="Times New Roman" w:hAnsi="Times New Roman" w:cs="Times New Roman"/>
          <w:sz w:val="24"/>
          <w:szCs w:val="24"/>
        </w:rPr>
        <w:t>Rhind</w:t>
      </w:r>
      <w:proofErr w:type="spellEnd"/>
      <w:r w:rsidRPr="001C24D8">
        <w:rPr>
          <w:rFonts w:ascii="Times New Roman" w:eastAsia="Times New Roman" w:hAnsi="Times New Roman" w:cs="Times New Roman"/>
          <w:sz w:val="24"/>
          <w:szCs w:val="24"/>
        </w:rPr>
        <w:t xml:space="preserve">, N., Hua, H., &amp; </w:t>
      </w:r>
      <w:proofErr w:type="spellStart"/>
      <w:r w:rsidRPr="001C24D8">
        <w:rPr>
          <w:rFonts w:ascii="Times New Roman" w:eastAsia="Times New Roman" w:hAnsi="Times New Roman" w:cs="Times New Roman"/>
          <w:sz w:val="24"/>
          <w:szCs w:val="24"/>
        </w:rPr>
        <w:t>Froget</w:t>
      </w:r>
      <w:proofErr w:type="spellEnd"/>
      <w:r w:rsidRPr="001C24D8">
        <w:rPr>
          <w:rFonts w:ascii="Times New Roman" w:eastAsia="Times New Roman" w:hAnsi="Times New Roman" w:cs="Times New Roman"/>
          <w:sz w:val="24"/>
          <w:szCs w:val="24"/>
        </w:rPr>
        <w:t xml:space="preserve">, B. (2005, October 26). </w:t>
      </w:r>
      <w:r w:rsidRPr="001C24D8">
        <w:rPr>
          <w:rFonts w:ascii="Times New Roman" w:eastAsia="Times New Roman" w:hAnsi="Times New Roman" w:cs="Times New Roman"/>
          <w:i/>
          <w:iCs/>
          <w:sz w:val="24"/>
          <w:szCs w:val="24"/>
        </w:rPr>
        <w:t>DNA replication origins fire stochastically in fission yeast</w:t>
      </w:r>
      <w:r w:rsidRPr="001C24D8">
        <w:rPr>
          <w:rFonts w:ascii="Times New Roman" w:eastAsia="Times New Roman" w:hAnsi="Times New Roman" w:cs="Times New Roman"/>
          <w:sz w:val="24"/>
          <w:szCs w:val="24"/>
        </w:rPr>
        <w:t xml:space="preserve">. Molecular Biology of the Cell. Retrieved April 27, 2022, from https://www.molbiolcell.org/doi/10.1091/mbc.E05-07-0657 </w:t>
      </w:r>
    </w:p>
    <w:p w14:paraId="35D47BE3" w14:textId="77777777" w:rsidR="00FC5B50" w:rsidRPr="001C24D8" w:rsidRDefault="00FC5B50" w:rsidP="00E1302D">
      <w:pPr>
        <w:pStyle w:val="NormalWeb"/>
        <w:spacing w:before="0" w:beforeAutospacing="0" w:after="240" w:afterAutospacing="0"/>
        <w:ind w:left="720" w:hanging="720"/>
        <w:textAlignment w:val="baseline"/>
        <w:rPr>
          <w:color w:val="000000"/>
        </w:rPr>
      </w:pPr>
      <w:proofErr w:type="spellStart"/>
      <w:r w:rsidRPr="001C24D8">
        <w:rPr>
          <w:color w:val="000000"/>
        </w:rPr>
        <w:lastRenderedPageBreak/>
        <w:t>Rhind</w:t>
      </w:r>
      <w:proofErr w:type="spellEnd"/>
      <w:r w:rsidRPr="001C24D8">
        <w:rPr>
          <w:color w:val="000000"/>
        </w:rPr>
        <w:t xml:space="preserve">, N. (2006). DNA replication timing: Random thoughts about origin firing. </w:t>
      </w:r>
      <w:r w:rsidRPr="001C24D8">
        <w:rPr>
          <w:i/>
          <w:iCs/>
          <w:color w:val="000000"/>
        </w:rPr>
        <w:t>Nature Cell Biology,</w:t>
      </w:r>
      <w:r w:rsidRPr="001C24D8">
        <w:rPr>
          <w:color w:val="000000"/>
        </w:rPr>
        <w:t xml:space="preserve"> </w:t>
      </w:r>
      <w:r w:rsidRPr="001C24D8">
        <w:rPr>
          <w:i/>
          <w:iCs/>
          <w:color w:val="000000"/>
        </w:rPr>
        <w:t>8</w:t>
      </w:r>
      <w:r w:rsidRPr="001C24D8">
        <w:rPr>
          <w:color w:val="000000"/>
        </w:rPr>
        <w:t>(12), 1313-1316. doi:10.1038/ncb1206-1313 </w:t>
      </w:r>
    </w:p>
    <w:p w14:paraId="33A18596" w14:textId="77777777" w:rsidR="00FC5B50" w:rsidRPr="001C24D8" w:rsidRDefault="00FC5B50" w:rsidP="00E1302D">
      <w:pPr>
        <w:pStyle w:val="NormalWeb"/>
        <w:spacing w:before="0" w:beforeAutospacing="0" w:after="240" w:afterAutospacing="0"/>
        <w:ind w:left="720" w:hanging="720"/>
        <w:textAlignment w:val="baseline"/>
        <w:rPr>
          <w:color w:val="000000"/>
        </w:rPr>
      </w:pPr>
      <w:proofErr w:type="spellStart"/>
      <w:r w:rsidRPr="001C24D8">
        <w:rPr>
          <w:color w:val="303030"/>
          <w:shd w:val="clear" w:color="auto" w:fill="FFFFFF"/>
        </w:rPr>
        <w:t>Rhind</w:t>
      </w:r>
      <w:proofErr w:type="spellEnd"/>
      <w:r w:rsidRPr="001C24D8">
        <w:rPr>
          <w:color w:val="303030"/>
          <w:shd w:val="clear" w:color="auto" w:fill="FFFFFF"/>
        </w:rPr>
        <w:t xml:space="preserve">, N., &amp; Gilbert, D. M. (2013). DNA replication timing. </w:t>
      </w:r>
      <w:r w:rsidRPr="001C24D8">
        <w:rPr>
          <w:i/>
          <w:iCs/>
          <w:color w:val="303030"/>
          <w:shd w:val="clear" w:color="auto" w:fill="FFFFFF"/>
        </w:rPr>
        <w:t>Cold Spring Harbor perspectives in biology</w:t>
      </w:r>
      <w:r w:rsidRPr="001C24D8">
        <w:rPr>
          <w:color w:val="303030"/>
          <w:shd w:val="clear" w:color="auto" w:fill="FFFFFF"/>
        </w:rPr>
        <w:t xml:space="preserve">, </w:t>
      </w:r>
      <w:r w:rsidRPr="001C24D8">
        <w:rPr>
          <w:i/>
          <w:iCs/>
          <w:color w:val="303030"/>
          <w:shd w:val="clear" w:color="auto" w:fill="FFFFFF"/>
        </w:rPr>
        <w:t>5</w:t>
      </w:r>
      <w:r w:rsidRPr="001C24D8">
        <w:rPr>
          <w:color w:val="303030"/>
          <w:shd w:val="clear" w:color="auto" w:fill="FFFFFF"/>
        </w:rPr>
        <w:t>(8), a010132. https://doi.org/10.1101/cshperspect.a010132</w:t>
      </w:r>
    </w:p>
    <w:p w14:paraId="568EA854" w14:textId="2AA7BB0E" w:rsidR="00FC5B50" w:rsidRDefault="00FC5B50" w:rsidP="00E1302D">
      <w:pPr>
        <w:pStyle w:val="NormalWeb"/>
        <w:spacing w:before="0" w:beforeAutospacing="0" w:after="240" w:afterAutospacing="0"/>
        <w:ind w:left="720" w:hanging="720"/>
        <w:textAlignment w:val="baseline"/>
        <w:rPr>
          <w:color w:val="000000"/>
        </w:rPr>
      </w:pPr>
      <w:proofErr w:type="spellStart"/>
      <w:r w:rsidRPr="001C24D8">
        <w:rPr>
          <w:color w:val="000000"/>
        </w:rPr>
        <w:t>Rhind</w:t>
      </w:r>
      <w:proofErr w:type="spellEnd"/>
      <w:r w:rsidRPr="001C24D8">
        <w:rPr>
          <w:color w:val="000000"/>
        </w:rPr>
        <w:t xml:space="preserve">, N., Yang, S., &amp; </w:t>
      </w:r>
      <w:proofErr w:type="spellStart"/>
      <w:r w:rsidRPr="001C24D8">
        <w:rPr>
          <w:color w:val="000000"/>
        </w:rPr>
        <w:t>Bechhoefer</w:t>
      </w:r>
      <w:proofErr w:type="spellEnd"/>
      <w:r w:rsidRPr="001C24D8">
        <w:rPr>
          <w:color w:val="000000"/>
        </w:rPr>
        <w:t xml:space="preserve">, J. (2009, November 19). Reconciling stochastic origin firing with defined replication timing. </w:t>
      </w:r>
      <w:hyperlink r:id="rId35" w:history="1">
        <w:r w:rsidR="005E1C3B" w:rsidRPr="009458FF">
          <w:rPr>
            <w:rStyle w:val="Hyperlink"/>
          </w:rPr>
          <w:t>https://link.springer.com/article/10.1007%2Fs10577-009-9093-3</w:t>
        </w:r>
      </w:hyperlink>
    </w:p>
    <w:p w14:paraId="76BBD2DB" w14:textId="4B2270F4" w:rsidR="005E1C3B" w:rsidRPr="005E1C3B" w:rsidRDefault="005E1C3B" w:rsidP="005E1C3B">
      <w:pPr>
        <w:spacing w:before="100" w:beforeAutospacing="1" w:after="100" w:afterAutospacing="1" w:line="240" w:lineRule="auto"/>
        <w:ind w:left="567" w:hanging="567"/>
        <w:rPr>
          <w:rFonts w:ascii="Times New Roman" w:eastAsia="Times New Roman" w:hAnsi="Times New Roman" w:cs="Times New Roman"/>
          <w:sz w:val="24"/>
          <w:szCs w:val="24"/>
        </w:rPr>
      </w:pPr>
      <w:r w:rsidRPr="005E1C3B">
        <w:rPr>
          <w:rFonts w:ascii="Times New Roman" w:eastAsia="Times New Roman" w:hAnsi="Times New Roman" w:cs="Times New Roman"/>
          <w:sz w:val="24"/>
          <w:szCs w:val="24"/>
        </w:rPr>
        <w:t xml:space="preserve">Schwob, E., </w:t>
      </w:r>
      <w:proofErr w:type="spellStart"/>
      <w:r w:rsidRPr="005E1C3B">
        <w:rPr>
          <w:rFonts w:ascii="Times New Roman" w:eastAsia="Times New Roman" w:hAnsi="Times New Roman" w:cs="Times New Roman"/>
          <w:sz w:val="24"/>
          <w:szCs w:val="24"/>
        </w:rPr>
        <w:t>Renty</w:t>
      </w:r>
      <w:proofErr w:type="spellEnd"/>
      <w:r w:rsidRPr="005E1C3B">
        <w:rPr>
          <w:rFonts w:ascii="Times New Roman" w:eastAsia="Times New Roman" w:hAnsi="Times New Roman" w:cs="Times New Roman"/>
          <w:sz w:val="24"/>
          <w:szCs w:val="24"/>
        </w:rPr>
        <w:t xml:space="preserve">, C. de, Coulon, V., </w:t>
      </w:r>
      <w:proofErr w:type="spellStart"/>
      <w:r w:rsidRPr="005E1C3B">
        <w:rPr>
          <w:rFonts w:ascii="Times New Roman" w:eastAsia="Times New Roman" w:hAnsi="Times New Roman" w:cs="Times New Roman"/>
          <w:sz w:val="24"/>
          <w:szCs w:val="24"/>
        </w:rPr>
        <w:t>Gostan</w:t>
      </w:r>
      <w:proofErr w:type="spellEnd"/>
      <w:r w:rsidRPr="005E1C3B">
        <w:rPr>
          <w:rFonts w:ascii="Times New Roman" w:eastAsia="Times New Roman" w:hAnsi="Times New Roman" w:cs="Times New Roman"/>
          <w:sz w:val="24"/>
          <w:szCs w:val="24"/>
        </w:rPr>
        <w:t xml:space="preserve">, T., Boyer, C., </w:t>
      </w:r>
      <w:proofErr w:type="spellStart"/>
      <w:r w:rsidRPr="005E1C3B">
        <w:rPr>
          <w:rFonts w:ascii="Times New Roman" w:eastAsia="Times New Roman" w:hAnsi="Times New Roman" w:cs="Times New Roman"/>
          <w:sz w:val="24"/>
          <w:szCs w:val="24"/>
        </w:rPr>
        <w:t>Camet-Gabut</w:t>
      </w:r>
      <w:proofErr w:type="spellEnd"/>
      <w:r w:rsidRPr="005E1C3B">
        <w:rPr>
          <w:rFonts w:ascii="Times New Roman" w:eastAsia="Times New Roman" w:hAnsi="Times New Roman" w:cs="Times New Roman"/>
          <w:sz w:val="24"/>
          <w:szCs w:val="24"/>
        </w:rPr>
        <w:t xml:space="preserve">, L., &amp; Amato, C. (2009). Use of DNA combing for studying DNA replication in vivo in yeast and mammalian cells. </w:t>
      </w:r>
      <w:r w:rsidRPr="005E1C3B">
        <w:rPr>
          <w:rFonts w:ascii="Times New Roman" w:eastAsia="Times New Roman" w:hAnsi="Times New Roman" w:cs="Times New Roman"/>
          <w:i/>
          <w:iCs/>
          <w:sz w:val="24"/>
          <w:szCs w:val="24"/>
        </w:rPr>
        <w:t>Methods in Molecular Biology</w:t>
      </w:r>
      <w:r w:rsidRPr="005E1C3B">
        <w:rPr>
          <w:rFonts w:ascii="Times New Roman" w:eastAsia="Times New Roman" w:hAnsi="Times New Roman" w:cs="Times New Roman"/>
          <w:sz w:val="24"/>
          <w:szCs w:val="24"/>
        </w:rPr>
        <w:t xml:space="preserve">, 673–687. https://doi.org/10.1007/978-1-60327-815-7_36 </w:t>
      </w:r>
    </w:p>
    <w:p w14:paraId="39DC7A61" w14:textId="7C33CD41" w:rsidR="00FC5B50" w:rsidRPr="001C24D8" w:rsidRDefault="007C6101" w:rsidP="00E1302D">
      <w:pPr>
        <w:pStyle w:val="NormalWeb"/>
        <w:spacing w:before="0" w:beforeAutospacing="0" w:after="240" w:afterAutospacing="0"/>
        <w:ind w:left="720" w:hanging="720"/>
        <w:textAlignment w:val="baseline"/>
        <w:rPr>
          <w:color w:val="000000"/>
        </w:rPr>
      </w:pPr>
      <w:r>
        <w:rPr>
          <w:color w:val="000000"/>
        </w:rPr>
        <w:t>Sivakumar</w:t>
      </w:r>
      <w:r w:rsidR="00FC5B50" w:rsidRPr="001C24D8">
        <w:rPr>
          <w:color w:val="000000"/>
        </w:rPr>
        <w:t xml:space="preserve">, S. (2004). In vivo labeling of fission yeast DNA with thymidine and thymidine analogs. </w:t>
      </w:r>
      <w:r w:rsidR="00FC5B50" w:rsidRPr="001C24D8">
        <w:rPr>
          <w:i/>
          <w:iCs/>
          <w:color w:val="000000"/>
        </w:rPr>
        <w:t>Methods,</w:t>
      </w:r>
      <w:r w:rsidR="00FC5B50" w:rsidRPr="001C24D8">
        <w:rPr>
          <w:color w:val="000000"/>
        </w:rPr>
        <w:t xml:space="preserve"> </w:t>
      </w:r>
      <w:r w:rsidR="00FC5B50" w:rsidRPr="001C24D8">
        <w:rPr>
          <w:i/>
          <w:iCs/>
          <w:color w:val="000000"/>
        </w:rPr>
        <w:t>33</w:t>
      </w:r>
      <w:r w:rsidR="00FC5B50" w:rsidRPr="001C24D8">
        <w:rPr>
          <w:color w:val="000000"/>
        </w:rPr>
        <w:t xml:space="preserve">(3), 213-219. </w:t>
      </w:r>
      <w:proofErr w:type="gramStart"/>
      <w:r w:rsidR="00FC5B50" w:rsidRPr="001C24D8">
        <w:rPr>
          <w:color w:val="000000"/>
        </w:rPr>
        <w:t>doi:10.1016/j.ymeth</w:t>
      </w:r>
      <w:proofErr w:type="gramEnd"/>
      <w:r w:rsidR="00FC5B50" w:rsidRPr="001C24D8">
        <w:rPr>
          <w:color w:val="000000"/>
        </w:rPr>
        <w:t>.2003.11.01</w:t>
      </w:r>
    </w:p>
    <w:p w14:paraId="584C08B2" w14:textId="2A0876D8" w:rsidR="005E1C3B" w:rsidRPr="001C24D8" w:rsidRDefault="00FC5B50" w:rsidP="005E1C3B">
      <w:pPr>
        <w:pStyle w:val="NormalWeb"/>
        <w:spacing w:before="240" w:beforeAutospacing="0" w:after="240" w:afterAutospacing="0"/>
        <w:ind w:left="720" w:hanging="720"/>
        <w:textAlignment w:val="baseline"/>
        <w:rPr>
          <w:color w:val="000000"/>
        </w:rPr>
      </w:pPr>
      <w:r w:rsidRPr="001C24D8">
        <w:rPr>
          <w:color w:val="000000"/>
        </w:rPr>
        <w:t xml:space="preserve">Stockdale, F., &amp; </w:t>
      </w:r>
      <w:proofErr w:type="spellStart"/>
      <w:r w:rsidRPr="001C24D8">
        <w:rPr>
          <w:color w:val="000000"/>
        </w:rPr>
        <w:t>Holtzer</w:t>
      </w:r>
      <w:proofErr w:type="spellEnd"/>
      <w:r w:rsidRPr="001C24D8">
        <w:rPr>
          <w:color w:val="000000"/>
        </w:rPr>
        <w:t xml:space="preserve">, H. (1961). DNA synthesis and myogenesis. </w:t>
      </w:r>
      <w:r w:rsidRPr="001C24D8">
        <w:rPr>
          <w:i/>
          <w:iCs/>
          <w:color w:val="000000"/>
        </w:rPr>
        <w:t>Experimental Cell Research,</w:t>
      </w:r>
      <w:r w:rsidRPr="001C24D8">
        <w:rPr>
          <w:color w:val="000000"/>
        </w:rPr>
        <w:t xml:space="preserve"> </w:t>
      </w:r>
      <w:r w:rsidRPr="001C24D8">
        <w:rPr>
          <w:i/>
          <w:iCs/>
          <w:color w:val="000000"/>
        </w:rPr>
        <w:t>24</w:t>
      </w:r>
      <w:r w:rsidRPr="001C24D8">
        <w:rPr>
          <w:color w:val="000000"/>
        </w:rPr>
        <w:t>(3), 508-520. doi:10.1016/0014-4827(61)90450-5</w:t>
      </w:r>
    </w:p>
    <w:p w14:paraId="3D1C665F" w14:textId="2C9B2056" w:rsidR="00FC5B50" w:rsidRDefault="00FC5B50" w:rsidP="00E1302D">
      <w:pPr>
        <w:pStyle w:val="NormalWeb"/>
        <w:spacing w:before="0" w:beforeAutospacing="0" w:after="240" w:afterAutospacing="0"/>
        <w:ind w:left="720" w:hanging="720"/>
        <w:textAlignment w:val="baseline"/>
        <w:rPr>
          <w:color w:val="000000"/>
        </w:rPr>
      </w:pPr>
      <w:r w:rsidRPr="001C24D8">
        <w:rPr>
          <w:color w:val="000000"/>
        </w:rPr>
        <w:t xml:space="preserve">Wang, W., Klein, K., </w:t>
      </w:r>
      <w:proofErr w:type="spellStart"/>
      <w:r w:rsidRPr="001C24D8">
        <w:rPr>
          <w:color w:val="000000"/>
        </w:rPr>
        <w:t>Proesmans</w:t>
      </w:r>
      <w:proofErr w:type="spellEnd"/>
      <w:r w:rsidRPr="001C24D8">
        <w:rPr>
          <w:color w:val="000000"/>
        </w:rPr>
        <w:t xml:space="preserve">, K., Yang, H., </w:t>
      </w:r>
      <w:proofErr w:type="spellStart"/>
      <w:r w:rsidRPr="001C24D8">
        <w:rPr>
          <w:color w:val="000000"/>
        </w:rPr>
        <w:t>Marchal</w:t>
      </w:r>
      <w:proofErr w:type="spellEnd"/>
      <w:r w:rsidRPr="001C24D8">
        <w:rPr>
          <w:color w:val="000000"/>
        </w:rPr>
        <w:t xml:space="preserve">, C., Zhu, X., . . . </w:t>
      </w:r>
      <w:proofErr w:type="spellStart"/>
      <w:r w:rsidRPr="001C24D8">
        <w:rPr>
          <w:color w:val="000000"/>
        </w:rPr>
        <w:t>Rhind</w:t>
      </w:r>
      <w:proofErr w:type="spellEnd"/>
      <w:r w:rsidRPr="001C24D8">
        <w:rPr>
          <w:color w:val="000000"/>
        </w:rPr>
        <w:t>, N. (2020). Genome-wide mapping of human DNA replication by optical replication mapping supports a stochastic model of eukaryotic replication. doi:10.1101/2020.08.24.263459</w:t>
      </w:r>
    </w:p>
    <w:p w14:paraId="22F5F5EF" w14:textId="7DAA4B54" w:rsidR="00D43855" w:rsidRPr="001D35FB" w:rsidRDefault="001D35FB" w:rsidP="00D43855">
      <w:pPr>
        <w:spacing w:before="100" w:beforeAutospacing="1" w:after="100" w:afterAutospacing="1" w:line="240" w:lineRule="auto"/>
        <w:ind w:left="567" w:hanging="567"/>
        <w:rPr>
          <w:rFonts w:ascii="Times New Roman" w:eastAsia="Times New Roman" w:hAnsi="Times New Roman" w:cs="Times New Roman"/>
          <w:sz w:val="24"/>
          <w:szCs w:val="24"/>
        </w:rPr>
      </w:pPr>
      <w:r w:rsidRPr="001D35FB">
        <w:rPr>
          <w:rFonts w:ascii="Times New Roman" w:eastAsia="Times New Roman" w:hAnsi="Times New Roman" w:cs="Times New Roman"/>
          <w:sz w:val="24"/>
          <w:szCs w:val="24"/>
        </w:rPr>
        <w:t>Weitao Wang, Kyle Klein, Karel </w:t>
      </w:r>
      <w:proofErr w:type="spellStart"/>
      <w:r w:rsidRPr="001D35FB">
        <w:rPr>
          <w:rFonts w:ascii="Times New Roman" w:eastAsia="Times New Roman" w:hAnsi="Times New Roman" w:cs="Times New Roman"/>
          <w:sz w:val="24"/>
          <w:szCs w:val="24"/>
        </w:rPr>
        <w:t>Proesmans</w:t>
      </w:r>
      <w:proofErr w:type="spellEnd"/>
      <w:r w:rsidRPr="001D35FB">
        <w:rPr>
          <w:rFonts w:ascii="Times New Roman" w:eastAsia="Times New Roman" w:hAnsi="Times New Roman" w:cs="Times New Roman"/>
          <w:sz w:val="24"/>
          <w:szCs w:val="24"/>
        </w:rPr>
        <w:t xml:space="preserve">, </w:t>
      </w:r>
      <w:proofErr w:type="spellStart"/>
      <w:r w:rsidRPr="001D35FB">
        <w:rPr>
          <w:rFonts w:ascii="Times New Roman" w:eastAsia="Times New Roman" w:hAnsi="Times New Roman" w:cs="Times New Roman"/>
          <w:sz w:val="24"/>
          <w:szCs w:val="24"/>
        </w:rPr>
        <w:t>Hongbo</w:t>
      </w:r>
      <w:proofErr w:type="spellEnd"/>
      <w:r w:rsidRPr="001D35FB">
        <w:rPr>
          <w:rFonts w:ascii="Times New Roman" w:eastAsia="Times New Roman" w:hAnsi="Times New Roman" w:cs="Times New Roman"/>
          <w:sz w:val="24"/>
          <w:szCs w:val="24"/>
        </w:rPr>
        <w:t xml:space="preserve"> Yang, </w:t>
      </w:r>
      <w:proofErr w:type="spellStart"/>
      <w:r w:rsidRPr="001D35FB">
        <w:rPr>
          <w:rFonts w:ascii="Times New Roman" w:eastAsia="Times New Roman" w:hAnsi="Times New Roman" w:cs="Times New Roman"/>
          <w:sz w:val="24"/>
          <w:szCs w:val="24"/>
        </w:rPr>
        <w:t>ProfileClaire</w:t>
      </w:r>
      <w:proofErr w:type="spellEnd"/>
      <w:r w:rsidRPr="001D35FB">
        <w:rPr>
          <w:rFonts w:ascii="Times New Roman" w:eastAsia="Times New Roman" w:hAnsi="Times New Roman" w:cs="Times New Roman"/>
          <w:sz w:val="24"/>
          <w:szCs w:val="24"/>
        </w:rPr>
        <w:t> </w:t>
      </w:r>
      <w:proofErr w:type="spellStart"/>
      <w:r w:rsidRPr="001D35FB">
        <w:rPr>
          <w:rFonts w:ascii="Times New Roman" w:eastAsia="Times New Roman" w:hAnsi="Times New Roman" w:cs="Times New Roman"/>
          <w:sz w:val="24"/>
          <w:szCs w:val="24"/>
        </w:rPr>
        <w:t>Marchal</w:t>
      </w:r>
      <w:proofErr w:type="spellEnd"/>
      <w:r w:rsidR="00FA6604">
        <w:rPr>
          <w:rFonts w:ascii="Times New Roman" w:eastAsia="Times New Roman" w:hAnsi="Times New Roman" w:cs="Times New Roman"/>
          <w:sz w:val="24"/>
          <w:szCs w:val="24"/>
        </w:rPr>
        <w:t xml:space="preserve">, </w:t>
      </w:r>
      <w:r w:rsidRPr="001D35FB">
        <w:rPr>
          <w:rFonts w:ascii="Times New Roman" w:eastAsia="Times New Roman" w:hAnsi="Times New Roman" w:cs="Times New Roman"/>
          <w:sz w:val="24"/>
          <w:szCs w:val="24"/>
        </w:rPr>
        <w:t xml:space="preserve">D., </w:t>
      </w:r>
      <w:proofErr w:type="spellStart"/>
      <w:r w:rsidRPr="001D35FB">
        <w:rPr>
          <w:rFonts w:ascii="Times New Roman" w:eastAsia="Times New Roman" w:hAnsi="Times New Roman" w:cs="Times New Roman"/>
          <w:sz w:val="24"/>
          <w:szCs w:val="24"/>
        </w:rPr>
        <w:t>Xiaopeng</w:t>
      </w:r>
      <w:proofErr w:type="spellEnd"/>
      <w:r w:rsidRPr="001D35FB">
        <w:rPr>
          <w:rFonts w:ascii="Times New Roman" w:eastAsia="Times New Roman" w:hAnsi="Times New Roman" w:cs="Times New Roman"/>
          <w:sz w:val="24"/>
          <w:szCs w:val="24"/>
        </w:rPr>
        <w:t> Zhu, Tyler </w:t>
      </w:r>
      <w:proofErr w:type="spellStart"/>
      <w:r w:rsidRPr="001D35FB">
        <w:rPr>
          <w:rFonts w:ascii="Times New Roman" w:eastAsia="Times New Roman" w:hAnsi="Times New Roman" w:cs="Times New Roman"/>
          <w:sz w:val="24"/>
          <w:szCs w:val="24"/>
        </w:rPr>
        <w:t>Borrman</w:t>
      </w:r>
      <w:proofErr w:type="spellEnd"/>
      <w:r w:rsidRPr="001D35FB">
        <w:rPr>
          <w:rFonts w:ascii="Times New Roman" w:eastAsia="Times New Roman" w:hAnsi="Times New Roman" w:cs="Times New Roman"/>
          <w:sz w:val="24"/>
          <w:szCs w:val="24"/>
        </w:rPr>
        <w:t xml:space="preserve">, Alex Hastie, </w:t>
      </w:r>
      <w:proofErr w:type="spellStart"/>
      <w:r w:rsidRPr="001D35FB">
        <w:rPr>
          <w:rFonts w:ascii="Times New Roman" w:eastAsia="Times New Roman" w:hAnsi="Times New Roman" w:cs="Times New Roman"/>
          <w:sz w:val="24"/>
          <w:szCs w:val="24"/>
        </w:rPr>
        <w:t>ProfileZhiping</w:t>
      </w:r>
      <w:proofErr w:type="spellEnd"/>
      <w:r w:rsidRPr="001D35FB">
        <w:rPr>
          <w:rFonts w:ascii="Times New Roman" w:eastAsia="Times New Roman" w:hAnsi="Times New Roman" w:cs="Times New Roman"/>
          <w:sz w:val="24"/>
          <w:szCs w:val="24"/>
        </w:rPr>
        <w:t> </w:t>
      </w:r>
      <w:proofErr w:type="gramStart"/>
      <w:r w:rsidRPr="001D35FB">
        <w:rPr>
          <w:rFonts w:ascii="Times New Roman" w:eastAsia="Times New Roman" w:hAnsi="Times New Roman" w:cs="Times New Roman"/>
          <w:sz w:val="24"/>
          <w:szCs w:val="24"/>
        </w:rPr>
        <w:t>Weng,.,</w:t>
      </w:r>
      <w:proofErr w:type="gramEnd"/>
      <w:r w:rsidRPr="001D35FB">
        <w:rPr>
          <w:rFonts w:ascii="Times New Roman" w:eastAsia="Times New Roman" w:hAnsi="Times New Roman" w:cs="Times New Roman"/>
          <w:sz w:val="24"/>
          <w:szCs w:val="24"/>
        </w:rPr>
        <w:t xml:space="preserve"> </w:t>
      </w:r>
      <w:proofErr w:type="spellStart"/>
      <w:r w:rsidRPr="001D35FB">
        <w:rPr>
          <w:rFonts w:ascii="Times New Roman" w:eastAsia="Times New Roman" w:hAnsi="Times New Roman" w:cs="Times New Roman"/>
          <w:sz w:val="24"/>
          <w:szCs w:val="24"/>
        </w:rPr>
        <w:t>ProfileJohn</w:t>
      </w:r>
      <w:proofErr w:type="spellEnd"/>
      <w:r w:rsidRPr="001D35FB">
        <w:rPr>
          <w:rFonts w:ascii="Times New Roman" w:eastAsia="Times New Roman" w:hAnsi="Times New Roman" w:cs="Times New Roman"/>
          <w:sz w:val="24"/>
          <w:szCs w:val="24"/>
        </w:rPr>
        <w:t> </w:t>
      </w:r>
      <w:proofErr w:type="spellStart"/>
      <w:r w:rsidRPr="001D35FB">
        <w:rPr>
          <w:rFonts w:ascii="Times New Roman" w:eastAsia="Times New Roman" w:hAnsi="Times New Roman" w:cs="Times New Roman"/>
          <w:sz w:val="24"/>
          <w:szCs w:val="24"/>
        </w:rPr>
        <w:t>Bechhoefer</w:t>
      </w:r>
      <w:proofErr w:type="spellEnd"/>
      <w:r w:rsidRPr="001D35FB">
        <w:rPr>
          <w:rFonts w:ascii="Times New Roman" w:eastAsia="Times New Roman" w:hAnsi="Times New Roman" w:cs="Times New Roman"/>
          <w:sz w:val="24"/>
          <w:szCs w:val="24"/>
        </w:rPr>
        <w:t>,.Chun-Long Chen,., M. Gilbert,., &amp; Nicholas </w:t>
      </w:r>
      <w:proofErr w:type="spellStart"/>
      <w:r w:rsidRPr="001D35FB">
        <w:rPr>
          <w:rFonts w:ascii="Times New Roman" w:eastAsia="Times New Roman" w:hAnsi="Times New Roman" w:cs="Times New Roman"/>
          <w:sz w:val="24"/>
          <w:szCs w:val="24"/>
        </w:rPr>
        <w:t>Rhind</w:t>
      </w:r>
      <w:proofErr w:type="spellEnd"/>
      <w:r w:rsidRPr="001D35FB">
        <w:rPr>
          <w:rFonts w:ascii="Times New Roman" w:eastAsia="Times New Roman" w:hAnsi="Times New Roman" w:cs="Times New Roman"/>
          <w:sz w:val="24"/>
          <w:szCs w:val="24"/>
        </w:rPr>
        <w:t xml:space="preserve">,. (2021, June 21). </w:t>
      </w:r>
      <w:r w:rsidRPr="001D35FB">
        <w:rPr>
          <w:rFonts w:ascii="Times New Roman" w:eastAsia="Times New Roman" w:hAnsi="Times New Roman" w:cs="Times New Roman"/>
          <w:i/>
          <w:iCs/>
          <w:sz w:val="24"/>
          <w:szCs w:val="24"/>
        </w:rPr>
        <w:t>Genome-wide mapping of human DNA replication by optical replication mapping supports a stochastic model of eukaryotic replication timing</w:t>
      </w:r>
      <w:r w:rsidRPr="001D35FB">
        <w:rPr>
          <w:rFonts w:ascii="Times New Roman" w:eastAsia="Times New Roman" w:hAnsi="Times New Roman" w:cs="Times New Roman"/>
          <w:sz w:val="24"/>
          <w:szCs w:val="24"/>
        </w:rPr>
        <w:t xml:space="preserve">. </w:t>
      </w:r>
      <w:proofErr w:type="spellStart"/>
      <w:r w:rsidRPr="001D35FB">
        <w:rPr>
          <w:rFonts w:ascii="Times New Roman" w:eastAsia="Times New Roman" w:hAnsi="Times New Roman" w:cs="Times New Roman"/>
          <w:sz w:val="24"/>
          <w:szCs w:val="24"/>
        </w:rPr>
        <w:t>Bionano</w:t>
      </w:r>
      <w:proofErr w:type="spellEnd"/>
      <w:r w:rsidRPr="001D35FB">
        <w:rPr>
          <w:rFonts w:ascii="Times New Roman" w:eastAsia="Times New Roman" w:hAnsi="Times New Roman" w:cs="Times New Roman"/>
          <w:sz w:val="24"/>
          <w:szCs w:val="24"/>
        </w:rPr>
        <w:t xml:space="preserve"> Genomics. Retrieved April 28, 2022, from https://bionanogenomics.com/publications/genome-wide-mapping-of-human-dna-replication-by-optical-replication-mapping-supports-a-stochastic-model-of-eukaryotic-replication-timing/ </w:t>
      </w:r>
    </w:p>
    <w:p w14:paraId="059022DB" w14:textId="322B3C03" w:rsidR="00FC5B50" w:rsidRDefault="00FC5B50" w:rsidP="00FC5B50">
      <w:pPr>
        <w:pStyle w:val="ListParagraph"/>
        <w:spacing w:before="100" w:beforeAutospacing="1" w:after="100" w:afterAutospacing="1" w:line="240" w:lineRule="auto"/>
        <w:ind w:hanging="720"/>
        <w:rPr>
          <w:rFonts w:ascii="Times New Roman" w:eastAsia="Times New Roman" w:hAnsi="Times New Roman" w:cs="Times New Roman"/>
          <w:sz w:val="24"/>
          <w:szCs w:val="24"/>
        </w:rPr>
      </w:pPr>
      <w:r w:rsidRPr="001C24D8">
        <w:rPr>
          <w:rFonts w:ascii="Times New Roman" w:eastAsia="Times New Roman" w:hAnsi="Times New Roman" w:cs="Times New Roman"/>
          <w:sz w:val="24"/>
          <w:szCs w:val="24"/>
        </w:rPr>
        <w:t xml:space="preserve">Wikimedia Foundation. (2022, February 25). </w:t>
      </w:r>
      <w:r w:rsidRPr="001C24D8">
        <w:rPr>
          <w:rFonts w:ascii="Times New Roman" w:eastAsia="Times New Roman" w:hAnsi="Times New Roman" w:cs="Times New Roman"/>
          <w:i/>
          <w:iCs/>
          <w:sz w:val="24"/>
          <w:szCs w:val="24"/>
        </w:rPr>
        <w:t>Origin of replication</w:t>
      </w:r>
      <w:r w:rsidRPr="001C24D8">
        <w:rPr>
          <w:rFonts w:ascii="Times New Roman" w:eastAsia="Times New Roman" w:hAnsi="Times New Roman" w:cs="Times New Roman"/>
          <w:sz w:val="24"/>
          <w:szCs w:val="24"/>
        </w:rPr>
        <w:t xml:space="preserve">. Wikipedia. Retrieved April 27, 2022, from https://en.wikipedia.org/wiki/Origin_of_replication </w:t>
      </w:r>
    </w:p>
    <w:p w14:paraId="53F55E8C" w14:textId="77777777" w:rsidR="00B368DA" w:rsidRPr="00B368DA" w:rsidRDefault="00B368DA" w:rsidP="00B368DA">
      <w:pPr>
        <w:spacing w:before="100" w:beforeAutospacing="1" w:after="100" w:afterAutospacing="1" w:line="240" w:lineRule="auto"/>
        <w:ind w:left="567" w:hanging="567"/>
        <w:rPr>
          <w:rFonts w:ascii="Times New Roman" w:eastAsia="Times New Roman" w:hAnsi="Times New Roman" w:cs="Times New Roman"/>
          <w:sz w:val="24"/>
          <w:szCs w:val="24"/>
        </w:rPr>
      </w:pPr>
      <w:r w:rsidRPr="00B368DA">
        <w:rPr>
          <w:rFonts w:ascii="Times New Roman" w:eastAsia="Times New Roman" w:hAnsi="Times New Roman" w:cs="Times New Roman"/>
          <w:sz w:val="24"/>
          <w:szCs w:val="24"/>
        </w:rPr>
        <w:t xml:space="preserve">Wilson, D. L., &amp; Kool, E. T. (n.d.). Ultrafast oxime formation enables efficient fluorescence light-up measurement of DNA base excision. </w:t>
      </w:r>
      <w:r w:rsidRPr="00B368DA">
        <w:rPr>
          <w:rFonts w:ascii="Times New Roman" w:eastAsia="Times New Roman" w:hAnsi="Times New Roman" w:cs="Times New Roman"/>
          <w:i/>
          <w:iCs/>
          <w:sz w:val="24"/>
          <w:szCs w:val="24"/>
        </w:rPr>
        <w:t xml:space="preserve">Journal of American Chemical </w:t>
      </w:r>
      <w:proofErr w:type="spellStart"/>
      <w:r w:rsidRPr="00B368DA">
        <w:rPr>
          <w:rFonts w:ascii="Times New Roman" w:eastAsia="Times New Roman" w:hAnsi="Times New Roman" w:cs="Times New Roman"/>
          <w:i/>
          <w:iCs/>
          <w:sz w:val="24"/>
          <w:szCs w:val="24"/>
        </w:rPr>
        <w:t>Soceity</w:t>
      </w:r>
      <w:proofErr w:type="spellEnd"/>
      <w:r w:rsidRPr="00B368DA">
        <w:rPr>
          <w:rFonts w:ascii="Times New Roman" w:eastAsia="Times New Roman" w:hAnsi="Times New Roman" w:cs="Times New Roman"/>
          <w:sz w:val="24"/>
          <w:szCs w:val="24"/>
        </w:rPr>
        <w:t xml:space="preserve">. https://doi.org/10.1021/jacs.9b09812.s001 </w:t>
      </w:r>
    </w:p>
    <w:p w14:paraId="3FAA1495" w14:textId="55A7D67A" w:rsidR="00B368DA" w:rsidRDefault="00B368DA" w:rsidP="00FC5B50">
      <w:pPr>
        <w:pStyle w:val="ListParagraph"/>
        <w:spacing w:before="100" w:beforeAutospacing="1" w:after="100" w:afterAutospacing="1" w:line="240" w:lineRule="auto"/>
        <w:ind w:hanging="720"/>
        <w:rPr>
          <w:rFonts w:ascii="Times New Roman" w:eastAsia="Times New Roman" w:hAnsi="Times New Roman" w:cs="Times New Roman"/>
          <w:sz w:val="24"/>
          <w:szCs w:val="24"/>
        </w:rPr>
      </w:pPr>
    </w:p>
    <w:p w14:paraId="22DBF7EA" w14:textId="6BC28D91" w:rsidR="00E74A79" w:rsidRDefault="00E74A79" w:rsidP="00FC5B50">
      <w:pPr>
        <w:pStyle w:val="ListParagraph"/>
        <w:spacing w:before="100" w:beforeAutospacing="1" w:after="100" w:afterAutospacing="1" w:line="240" w:lineRule="auto"/>
        <w:ind w:hanging="720"/>
        <w:rPr>
          <w:rFonts w:ascii="Times New Roman" w:eastAsia="Times New Roman" w:hAnsi="Times New Roman" w:cs="Times New Roman"/>
          <w:sz w:val="24"/>
          <w:szCs w:val="24"/>
        </w:rPr>
      </w:pPr>
    </w:p>
    <w:p w14:paraId="21BDF168" w14:textId="77777777" w:rsidR="00E74A79" w:rsidRPr="001C24D8" w:rsidRDefault="00E74A79" w:rsidP="00FC5B50">
      <w:pPr>
        <w:pStyle w:val="ListParagraph"/>
        <w:spacing w:before="100" w:beforeAutospacing="1" w:after="100" w:afterAutospacing="1" w:line="240" w:lineRule="auto"/>
        <w:ind w:hanging="720"/>
        <w:rPr>
          <w:rFonts w:ascii="Times New Roman" w:eastAsia="Times New Roman" w:hAnsi="Times New Roman" w:cs="Times New Roman"/>
          <w:sz w:val="24"/>
          <w:szCs w:val="24"/>
        </w:rPr>
      </w:pPr>
    </w:p>
    <w:p w14:paraId="2EBA0791" w14:textId="23BCF07A" w:rsidR="00270456" w:rsidRPr="006D5707" w:rsidRDefault="00270456" w:rsidP="00270456">
      <w:pPr>
        <w:pStyle w:val="Heading1"/>
        <w:rPr>
          <w:rFonts w:ascii="Times New Roman" w:eastAsia="Times New Roman" w:hAnsi="Times New Roman" w:cs="Times New Roman"/>
          <w:b/>
          <w:bCs/>
          <w:sz w:val="24"/>
          <w:szCs w:val="24"/>
        </w:rPr>
      </w:pPr>
      <w:bookmarkStart w:id="107" w:name="_Toc102048579"/>
      <w:r w:rsidRPr="006D5707">
        <w:rPr>
          <w:rFonts w:eastAsia="Times New Roman"/>
          <w:b/>
          <w:bCs/>
        </w:rPr>
        <w:lastRenderedPageBreak/>
        <w:t>Part 2: Analysis of New York Hospitals</w:t>
      </w:r>
      <w:bookmarkEnd w:id="107"/>
      <w:r w:rsidRPr="006D5707">
        <w:rPr>
          <w:rFonts w:eastAsia="Times New Roman"/>
          <w:b/>
          <w:bCs/>
        </w:rPr>
        <w:t xml:space="preserve"> </w:t>
      </w:r>
    </w:p>
    <w:p w14:paraId="366F471D" w14:textId="77777777" w:rsidR="00BF7006" w:rsidRDefault="00BF7006" w:rsidP="00270456">
      <w:pPr>
        <w:spacing w:after="0" w:line="240" w:lineRule="auto"/>
        <w:rPr>
          <w:rFonts w:ascii="Arial" w:eastAsia="Times New Roman" w:hAnsi="Arial" w:cs="Arial"/>
          <w:b/>
          <w:bCs/>
          <w:color w:val="000000"/>
        </w:rPr>
      </w:pPr>
    </w:p>
    <w:p w14:paraId="15523692" w14:textId="6607FEDF" w:rsidR="00BF7006" w:rsidRDefault="00270456" w:rsidP="00270456">
      <w:pPr>
        <w:spacing w:after="0" w:line="240" w:lineRule="auto"/>
        <w:rPr>
          <w:rFonts w:ascii="Arial" w:eastAsia="Times New Roman" w:hAnsi="Arial" w:cs="Arial"/>
          <w:b/>
          <w:bCs/>
          <w:color w:val="000000"/>
        </w:rPr>
      </w:pPr>
      <w:r w:rsidRPr="0034209D">
        <w:rPr>
          <w:rFonts w:ascii="Arial" w:eastAsia="Times New Roman" w:hAnsi="Arial" w:cs="Arial"/>
          <w:b/>
          <w:bCs/>
          <w:color w:val="000000"/>
        </w:rPr>
        <w:t xml:space="preserve">Author: </w:t>
      </w:r>
    </w:p>
    <w:p w14:paraId="5BC99AF5" w14:textId="77777777" w:rsidR="00BF7006" w:rsidRDefault="00BF7006" w:rsidP="00270456">
      <w:pPr>
        <w:spacing w:after="0" w:line="240" w:lineRule="auto"/>
        <w:rPr>
          <w:rFonts w:ascii="Arial" w:eastAsia="Times New Roman" w:hAnsi="Arial" w:cs="Arial"/>
          <w:b/>
          <w:bCs/>
          <w:color w:val="000000"/>
        </w:rPr>
      </w:pPr>
    </w:p>
    <w:p w14:paraId="67D03175" w14:textId="62134EC4" w:rsidR="00BF7006" w:rsidRDefault="00270456" w:rsidP="00BF7006">
      <w:pPr>
        <w:spacing w:after="0" w:line="240" w:lineRule="auto"/>
        <w:ind w:left="630"/>
        <w:rPr>
          <w:rFonts w:ascii="Arial" w:eastAsia="Times New Roman" w:hAnsi="Arial" w:cs="Arial"/>
          <w:b/>
          <w:bCs/>
          <w:color w:val="000000"/>
        </w:rPr>
      </w:pPr>
      <w:r w:rsidRPr="0034209D">
        <w:rPr>
          <w:rFonts w:ascii="Arial" w:eastAsia="Times New Roman" w:hAnsi="Arial" w:cs="Arial"/>
          <w:b/>
          <w:bCs/>
          <w:color w:val="000000"/>
        </w:rPr>
        <w:t>Silvana Reid</w:t>
      </w:r>
      <w:r w:rsidR="00BF7006">
        <w:rPr>
          <w:rFonts w:ascii="Arial" w:eastAsia="Times New Roman" w:hAnsi="Arial" w:cs="Arial"/>
          <w:b/>
          <w:bCs/>
          <w:color w:val="000000"/>
        </w:rPr>
        <w:t>, Chemistry and Biochemistry</w:t>
      </w:r>
    </w:p>
    <w:p w14:paraId="19C1AA2B" w14:textId="77777777" w:rsidR="00BF7006" w:rsidRDefault="00BF7006" w:rsidP="00BF7006">
      <w:pPr>
        <w:spacing w:after="0" w:line="240" w:lineRule="auto"/>
        <w:rPr>
          <w:rFonts w:ascii="Arial" w:eastAsia="Times New Roman" w:hAnsi="Arial" w:cs="Arial"/>
          <w:b/>
          <w:bCs/>
          <w:color w:val="000000"/>
        </w:rPr>
      </w:pPr>
    </w:p>
    <w:p w14:paraId="31C0FF39" w14:textId="2B1D6D5F" w:rsidR="00270456" w:rsidRDefault="00270456" w:rsidP="00BF7006">
      <w:pPr>
        <w:spacing w:after="0" w:line="240" w:lineRule="auto"/>
        <w:ind w:left="630"/>
        <w:rPr>
          <w:rFonts w:ascii="Arial" w:eastAsia="Times New Roman" w:hAnsi="Arial" w:cs="Arial"/>
          <w:b/>
          <w:bCs/>
          <w:color w:val="000000"/>
        </w:rPr>
      </w:pPr>
      <w:r>
        <w:rPr>
          <w:rFonts w:ascii="Arial" w:eastAsia="Times New Roman" w:hAnsi="Arial" w:cs="Arial"/>
          <w:b/>
          <w:bCs/>
          <w:color w:val="000000"/>
        </w:rPr>
        <w:t xml:space="preserve">Liza </w:t>
      </w:r>
      <w:proofErr w:type="spellStart"/>
      <w:r>
        <w:rPr>
          <w:rFonts w:ascii="Arial" w:eastAsia="Times New Roman" w:hAnsi="Arial" w:cs="Arial"/>
          <w:b/>
          <w:bCs/>
          <w:color w:val="000000"/>
        </w:rPr>
        <w:t>Hote</w:t>
      </w:r>
      <w:proofErr w:type="spellEnd"/>
      <w:r w:rsidR="00BF7006">
        <w:rPr>
          <w:rFonts w:ascii="Arial" w:eastAsia="Times New Roman" w:hAnsi="Arial" w:cs="Arial"/>
          <w:b/>
          <w:bCs/>
          <w:color w:val="000000"/>
        </w:rPr>
        <w:t>, Chemistry and Biochemistry</w:t>
      </w:r>
    </w:p>
    <w:p w14:paraId="540BF45D" w14:textId="77777777" w:rsidR="00270456" w:rsidRPr="0034209D" w:rsidRDefault="00270456" w:rsidP="00270456">
      <w:pPr>
        <w:spacing w:after="0" w:line="240" w:lineRule="auto"/>
        <w:rPr>
          <w:rFonts w:ascii="Times New Roman" w:eastAsia="Times New Roman" w:hAnsi="Times New Roman" w:cs="Times New Roman"/>
          <w:b/>
          <w:bCs/>
          <w:sz w:val="24"/>
          <w:szCs w:val="24"/>
        </w:rPr>
      </w:pPr>
    </w:p>
    <w:p w14:paraId="69AA78A3" w14:textId="604AA30F" w:rsidR="00270456" w:rsidRDefault="00270456" w:rsidP="00270456">
      <w:pPr>
        <w:spacing w:after="0" w:line="240" w:lineRule="auto"/>
        <w:rPr>
          <w:rFonts w:ascii="Arial" w:eastAsia="Times New Roman" w:hAnsi="Arial" w:cs="Arial"/>
          <w:b/>
          <w:bCs/>
          <w:color w:val="000000"/>
        </w:rPr>
      </w:pPr>
      <w:r w:rsidRPr="0034209D">
        <w:rPr>
          <w:rFonts w:ascii="Arial" w:eastAsia="Times New Roman" w:hAnsi="Arial" w:cs="Arial"/>
          <w:b/>
          <w:bCs/>
          <w:color w:val="000000"/>
        </w:rPr>
        <w:t xml:space="preserve">Supervisors: </w:t>
      </w:r>
    </w:p>
    <w:p w14:paraId="2A5E7288" w14:textId="77777777" w:rsidR="00BF7006" w:rsidRDefault="00BF7006" w:rsidP="00270456">
      <w:pPr>
        <w:spacing w:after="0" w:line="240" w:lineRule="auto"/>
        <w:rPr>
          <w:rFonts w:ascii="Arial" w:eastAsia="Times New Roman" w:hAnsi="Arial" w:cs="Arial"/>
          <w:b/>
          <w:bCs/>
          <w:color w:val="000000"/>
        </w:rPr>
      </w:pPr>
    </w:p>
    <w:p w14:paraId="18EF486C" w14:textId="58ADF09B" w:rsidR="00270456" w:rsidRDefault="00270456" w:rsidP="00BF7006">
      <w:pPr>
        <w:tabs>
          <w:tab w:val="center" w:pos="540"/>
        </w:tabs>
        <w:spacing w:after="0" w:line="240" w:lineRule="auto"/>
        <w:ind w:left="720"/>
        <w:rPr>
          <w:rFonts w:ascii="Arial" w:eastAsia="Times New Roman" w:hAnsi="Arial" w:cs="Arial"/>
          <w:b/>
          <w:bCs/>
          <w:i/>
          <w:iCs/>
          <w:color w:val="000000"/>
        </w:rPr>
      </w:pPr>
      <w:r>
        <w:rPr>
          <w:rFonts w:ascii="Arial" w:eastAsia="Times New Roman" w:hAnsi="Arial" w:cs="Arial"/>
          <w:b/>
          <w:bCs/>
          <w:color w:val="000000"/>
        </w:rPr>
        <w:t>Professor Brenton Faber,</w:t>
      </w:r>
      <w:r w:rsidR="00BF7006">
        <w:rPr>
          <w:rFonts w:ascii="Arial" w:eastAsia="Times New Roman" w:hAnsi="Arial" w:cs="Arial"/>
          <w:b/>
          <w:bCs/>
          <w:color w:val="000000"/>
        </w:rPr>
        <w:t xml:space="preserve"> PhD,</w:t>
      </w:r>
      <w:r>
        <w:rPr>
          <w:rFonts w:ascii="Arial" w:eastAsia="Times New Roman" w:hAnsi="Arial" w:cs="Arial"/>
          <w:b/>
          <w:bCs/>
          <w:color w:val="000000"/>
        </w:rPr>
        <w:t xml:space="preserve"> </w:t>
      </w:r>
      <w:r w:rsidR="00BF7006">
        <w:rPr>
          <w:rFonts w:ascii="Arial" w:eastAsia="Times New Roman" w:hAnsi="Arial" w:cs="Arial"/>
          <w:b/>
          <w:bCs/>
          <w:i/>
          <w:iCs/>
          <w:color w:val="000000"/>
        </w:rPr>
        <w:t>Department of Humanities and Arts</w:t>
      </w:r>
    </w:p>
    <w:p w14:paraId="23F45229" w14:textId="77777777" w:rsidR="00BF7006" w:rsidRDefault="00BF7006" w:rsidP="00BF7006">
      <w:pPr>
        <w:tabs>
          <w:tab w:val="center" w:pos="540"/>
        </w:tabs>
        <w:spacing w:after="0" w:line="240" w:lineRule="auto"/>
        <w:ind w:left="720"/>
        <w:rPr>
          <w:rFonts w:ascii="Arial" w:eastAsia="Times New Roman" w:hAnsi="Arial" w:cs="Arial"/>
          <w:b/>
          <w:bCs/>
          <w:i/>
          <w:iCs/>
          <w:color w:val="000000"/>
        </w:rPr>
      </w:pPr>
    </w:p>
    <w:p w14:paraId="4CA9816B" w14:textId="6E3DCC1A" w:rsidR="00BF7006" w:rsidRDefault="00BF7006" w:rsidP="00BF7006">
      <w:pPr>
        <w:tabs>
          <w:tab w:val="center" w:pos="540"/>
        </w:tabs>
        <w:spacing w:after="0" w:line="240" w:lineRule="auto"/>
        <w:ind w:left="720"/>
        <w:rPr>
          <w:rFonts w:ascii="Arial" w:eastAsia="Times New Roman" w:hAnsi="Arial" w:cs="Arial"/>
          <w:b/>
          <w:bCs/>
          <w:i/>
          <w:iCs/>
          <w:color w:val="000000"/>
        </w:rPr>
      </w:pPr>
      <w:r>
        <w:rPr>
          <w:rFonts w:ascii="Arial" w:eastAsia="Times New Roman" w:hAnsi="Arial" w:cs="Arial"/>
          <w:b/>
          <w:bCs/>
          <w:color w:val="000000"/>
        </w:rPr>
        <w:t xml:space="preserve">Professor </w:t>
      </w:r>
      <w:proofErr w:type="spellStart"/>
      <w:r w:rsidR="00C47C15">
        <w:rPr>
          <w:rFonts w:ascii="Arial" w:eastAsia="Times New Roman" w:hAnsi="Arial" w:cs="Arial"/>
          <w:b/>
          <w:bCs/>
          <w:color w:val="000000"/>
        </w:rPr>
        <w:t>Yu</w:t>
      </w:r>
      <w:r>
        <w:rPr>
          <w:rFonts w:ascii="Arial" w:eastAsia="Times New Roman" w:hAnsi="Arial" w:cs="Arial"/>
          <w:b/>
          <w:bCs/>
          <w:color w:val="000000"/>
        </w:rPr>
        <w:t>nus</w:t>
      </w:r>
      <w:proofErr w:type="spellEnd"/>
      <w:r>
        <w:rPr>
          <w:rFonts w:ascii="Arial" w:eastAsia="Times New Roman" w:hAnsi="Arial" w:cs="Arial"/>
          <w:b/>
          <w:bCs/>
          <w:color w:val="000000"/>
        </w:rPr>
        <w:t xml:space="preserve"> </w:t>
      </w:r>
      <w:proofErr w:type="spellStart"/>
      <w:r>
        <w:rPr>
          <w:rFonts w:ascii="Arial" w:eastAsia="Times New Roman" w:hAnsi="Arial" w:cs="Arial"/>
          <w:b/>
          <w:bCs/>
          <w:color w:val="000000"/>
        </w:rPr>
        <w:t>Telliel</w:t>
      </w:r>
      <w:proofErr w:type="spellEnd"/>
      <w:r>
        <w:rPr>
          <w:rFonts w:ascii="Arial" w:eastAsia="Times New Roman" w:hAnsi="Arial" w:cs="Arial"/>
          <w:b/>
          <w:bCs/>
          <w:color w:val="000000"/>
        </w:rPr>
        <w:t xml:space="preserve">, PhD, </w:t>
      </w:r>
      <w:r>
        <w:rPr>
          <w:rFonts w:ascii="Arial" w:eastAsia="Times New Roman" w:hAnsi="Arial" w:cs="Arial"/>
          <w:b/>
          <w:bCs/>
          <w:i/>
          <w:iCs/>
          <w:color w:val="000000"/>
        </w:rPr>
        <w:t>Department of Humanities and Arts</w:t>
      </w:r>
    </w:p>
    <w:p w14:paraId="70114101" w14:textId="54B8E171" w:rsidR="00BF7006" w:rsidRDefault="00BF7006" w:rsidP="00BF7006">
      <w:pPr>
        <w:tabs>
          <w:tab w:val="center" w:pos="540"/>
        </w:tabs>
        <w:spacing w:after="0" w:line="240" w:lineRule="auto"/>
        <w:ind w:left="720"/>
        <w:rPr>
          <w:rFonts w:ascii="Arial" w:hAnsi="Arial" w:cs="Arial"/>
          <w:color w:val="000000"/>
        </w:rPr>
      </w:pPr>
    </w:p>
    <w:p w14:paraId="5BBDEF78" w14:textId="2098B58C" w:rsidR="00386ACD" w:rsidRDefault="00386ACD" w:rsidP="003A3368">
      <w:pPr>
        <w:pStyle w:val="NormalWeb"/>
        <w:spacing w:before="0" w:beforeAutospacing="0" w:after="240" w:afterAutospacing="0" w:line="480" w:lineRule="auto"/>
        <w:ind w:left="720"/>
        <w:textAlignment w:val="baseline"/>
        <w:rPr>
          <w:rFonts w:ascii="Arial" w:hAnsi="Arial" w:cs="Arial"/>
          <w:color w:val="000000"/>
          <w:sz w:val="22"/>
          <w:szCs w:val="22"/>
        </w:rPr>
      </w:pPr>
    </w:p>
    <w:p w14:paraId="1D7990D5" w14:textId="5BB5EE1B" w:rsidR="00386ACD" w:rsidRDefault="00386ACD" w:rsidP="003A3368">
      <w:pPr>
        <w:pStyle w:val="NormalWeb"/>
        <w:spacing w:before="0" w:beforeAutospacing="0" w:after="240" w:afterAutospacing="0" w:line="480" w:lineRule="auto"/>
        <w:ind w:left="720"/>
        <w:textAlignment w:val="baseline"/>
        <w:rPr>
          <w:rFonts w:ascii="Arial" w:hAnsi="Arial" w:cs="Arial"/>
          <w:color w:val="000000"/>
          <w:sz w:val="22"/>
          <w:szCs w:val="22"/>
        </w:rPr>
      </w:pPr>
    </w:p>
    <w:p w14:paraId="0174AB62" w14:textId="5995C780" w:rsidR="00AB325B" w:rsidRPr="0034209D" w:rsidRDefault="00AB325B" w:rsidP="00AB325B">
      <w:pPr>
        <w:spacing w:after="0" w:line="240" w:lineRule="auto"/>
        <w:rPr>
          <w:rFonts w:ascii="Times New Roman" w:eastAsia="Times New Roman" w:hAnsi="Times New Roman" w:cs="Times New Roman"/>
          <w:b/>
          <w:bCs/>
          <w:sz w:val="24"/>
          <w:szCs w:val="24"/>
        </w:rPr>
      </w:pPr>
      <w:r w:rsidRPr="0034209D">
        <w:rPr>
          <w:rFonts w:ascii="Arial" w:eastAsia="Times New Roman" w:hAnsi="Arial" w:cs="Arial"/>
          <w:b/>
          <w:bCs/>
          <w:color w:val="000000"/>
        </w:rPr>
        <w:t xml:space="preserve"> </w:t>
      </w:r>
    </w:p>
    <w:p w14:paraId="6D7C5A85" w14:textId="56A9A2EA" w:rsidR="00386ACD" w:rsidRDefault="00386ACD" w:rsidP="003A3368">
      <w:pPr>
        <w:pStyle w:val="NormalWeb"/>
        <w:spacing w:before="0" w:beforeAutospacing="0" w:after="240" w:afterAutospacing="0" w:line="480" w:lineRule="auto"/>
        <w:ind w:left="720"/>
        <w:textAlignment w:val="baseline"/>
        <w:rPr>
          <w:rFonts w:ascii="Arial" w:hAnsi="Arial" w:cs="Arial"/>
          <w:color w:val="000000"/>
          <w:sz w:val="22"/>
          <w:szCs w:val="22"/>
        </w:rPr>
      </w:pPr>
    </w:p>
    <w:p w14:paraId="44DBDBED" w14:textId="4190E2AC" w:rsidR="00386ACD" w:rsidRDefault="00386ACD" w:rsidP="003A3368">
      <w:pPr>
        <w:pStyle w:val="NormalWeb"/>
        <w:spacing w:before="0" w:beforeAutospacing="0" w:after="240" w:afterAutospacing="0" w:line="480" w:lineRule="auto"/>
        <w:ind w:left="720"/>
        <w:textAlignment w:val="baseline"/>
        <w:rPr>
          <w:rFonts w:ascii="Arial" w:hAnsi="Arial" w:cs="Arial"/>
          <w:color w:val="000000"/>
          <w:sz w:val="22"/>
          <w:szCs w:val="22"/>
        </w:rPr>
      </w:pPr>
    </w:p>
    <w:p w14:paraId="6E54B693" w14:textId="42ED1A4A" w:rsidR="00386ACD" w:rsidRDefault="00386ACD" w:rsidP="003A3368">
      <w:pPr>
        <w:pStyle w:val="NormalWeb"/>
        <w:spacing w:before="0" w:beforeAutospacing="0" w:after="240" w:afterAutospacing="0" w:line="480" w:lineRule="auto"/>
        <w:ind w:left="720"/>
        <w:textAlignment w:val="baseline"/>
        <w:rPr>
          <w:rFonts w:ascii="Arial" w:hAnsi="Arial" w:cs="Arial"/>
          <w:color w:val="000000"/>
          <w:sz w:val="22"/>
          <w:szCs w:val="22"/>
        </w:rPr>
      </w:pPr>
    </w:p>
    <w:p w14:paraId="1D167083" w14:textId="00E70D16" w:rsidR="00386ACD" w:rsidRDefault="00386ACD" w:rsidP="003A3368">
      <w:pPr>
        <w:pStyle w:val="NormalWeb"/>
        <w:spacing w:before="0" w:beforeAutospacing="0" w:after="240" w:afterAutospacing="0" w:line="480" w:lineRule="auto"/>
        <w:ind w:left="720"/>
        <w:textAlignment w:val="baseline"/>
        <w:rPr>
          <w:rFonts w:ascii="Arial" w:hAnsi="Arial" w:cs="Arial"/>
          <w:color w:val="000000"/>
          <w:sz w:val="22"/>
          <w:szCs w:val="22"/>
        </w:rPr>
      </w:pPr>
    </w:p>
    <w:p w14:paraId="3AEDC103" w14:textId="4E125686" w:rsidR="00386ACD" w:rsidRDefault="00386ACD" w:rsidP="003A3368">
      <w:pPr>
        <w:pStyle w:val="NormalWeb"/>
        <w:spacing w:before="0" w:beforeAutospacing="0" w:after="240" w:afterAutospacing="0" w:line="480" w:lineRule="auto"/>
        <w:ind w:left="720"/>
        <w:textAlignment w:val="baseline"/>
        <w:rPr>
          <w:rFonts w:ascii="Arial" w:hAnsi="Arial" w:cs="Arial"/>
          <w:color w:val="000000"/>
          <w:sz w:val="22"/>
          <w:szCs w:val="22"/>
        </w:rPr>
      </w:pPr>
    </w:p>
    <w:p w14:paraId="308E2E18" w14:textId="598B1945" w:rsidR="00386ACD" w:rsidRDefault="00386ACD" w:rsidP="003A3368">
      <w:pPr>
        <w:pStyle w:val="NormalWeb"/>
        <w:spacing w:before="0" w:beforeAutospacing="0" w:after="240" w:afterAutospacing="0" w:line="480" w:lineRule="auto"/>
        <w:ind w:left="720"/>
        <w:textAlignment w:val="baseline"/>
        <w:rPr>
          <w:rFonts w:ascii="Arial" w:hAnsi="Arial" w:cs="Arial"/>
          <w:color w:val="000000"/>
          <w:sz w:val="22"/>
          <w:szCs w:val="22"/>
        </w:rPr>
      </w:pPr>
    </w:p>
    <w:p w14:paraId="48556201" w14:textId="0E9D9676" w:rsidR="00386ACD" w:rsidRDefault="00386ACD" w:rsidP="003A3368">
      <w:pPr>
        <w:pStyle w:val="NormalWeb"/>
        <w:spacing w:before="0" w:beforeAutospacing="0" w:after="240" w:afterAutospacing="0" w:line="480" w:lineRule="auto"/>
        <w:ind w:left="720"/>
        <w:textAlignment w:val="baseline"/>
        <w:rPr>
          <w:rFonts w:ascii="Arial" w:hAnsi="Arial" w:cs="Arial"/>
          <w:color w:val="000000"/>
          <w:sz w:val="22"/>
          <w:szCs w:val="22"/>
        </w:rPr>
      </w:pPr>
    </w:p>
    <w:p w14:paraId="4EA1D507" w14:textId="3176552C" w:rsidR="00386ACD" w:rsidRDefault="00386ACD" w:rsidP="003A3368">
      <w:pPr>
        <w:pStyle w:val="NormalWeb"/>
        <w:spacing w:before="0" w:beforeAutospacing="0" w:after="240" w:afterAutospacing="0" w:line="480" w:lineRule="auto"/>
        <w:ind w:left="720"/>
        <w:textAlignment w:val="baseline"/>
        <w:rPr>
          <w:rFonts w:ascii="Arial" w:hAnsi="Arial" w:cs="Arial"/>
          <w:color w:val="000000"/>
          <w:sz w:val="22"/>
          <w:szCs w:val="22"/>
        </w:rPr>
      </w:pPr>
    </w:p>
    <w:p w14:paraId="23AE347B" w14:textId="6D200EB3" w:rsidR="00386ACD" w:rsidRDefault="00386ACD" w:rsidP="003A3368">
      <w:pPr>
        <w:pStyle w:val="NormalWeb"/>
        <w:spacing w:before="0" w:beforeAutospacing="0" w:after="240" w:afterAutospacing="0" w:line="480" w:lineRule="auto"/>
        <w:ind w:left="720"/>
        <w:textAlignment w:val="baseline"/>
        <w:rPr>
          <w:rFonts w:ascii="Arial" w:hAnsi="Arial" w:cs="Arial"/>
          <w:color w:val="000000"/>
          <w:sz w:val="22"/>
          <w:szCs w:val="22"/>
        </w:rPr>
      </w:pPr>
    </w:p>
    <w:p w14:paraId="01E0D5D4" w14:textId="2977CF9A" w:rsidR="00386ACD" w:rsidRDefault="00386ACD" w:rsidP="003A3368">
      <w:pPr>
        <w:pStyle w:val="NormalWeb"/>
        <w:spacing w:before="0" w:beforeAutospacing="0" w:after="240" w:afterAutospacing="0" w:line="480" w:lineRule="auto"/>
        <w:ind w:left="720"/>
        <w:textAlignment w:val="baseline"/>
        <w:rPr>
          <w:rFonts w:ascii="Arial" w:hAnsi="Arial" w:cs="Arial"/>
          <w:color w:val="000000"/>
          <w:sz w:val="22"/>
          <w:szCs w:val="22"/>
        </w:rPr>
      </w:pPr>
    </w:p>
    <w:p w14:paraId="29B2E209" w14:textId="77777777" w:rsidR="00CA2F24" w:rsidRPr="00CA2F24" w:rsidRDefault="00CA2F24" w:rsidP="00CA2F24">
      <w:pPr>
        <w:pStyle w:val="Heading1"/>
        <w:rPr>
          <w:sz w:val="40"/>
          <w:szCs w:val="40"/>
        </w:rPr>
      </w:pPr>
      <w:bookmarkStart w:id="108" w:name="_Toc102048580"/>
      <w:r w:rsidRPr="00CA2F24">
        <w:rPr>
          <w:sz w:val="40"/>
          <w:szCs w:val="40"/>
        </w:rPr>
        <w:lastRenderedPageBreak/>
        <w:t>Culture of Safety at WPI Biomedical Laboratories</w:t>
      </w:r>
      <w:bookmarkEnd w:id="108"/>
    </w:p>
    <w:p w14:paraId="4E964DB5" w14:textId="2D4172EC" w:rsidR="00CA2F24" w:rsidRDefault="00CA2F24" w:rsidP="00587E40">
      <w:pPr>
        <w:pStyle w:val="NormalWeb"/>
        <w:spacing w:before="240" w:beforeAutospacing="0" w:after="240" w:afterAutospacing="0" w:line="276" w:lineRule="auto"/>
        <w:ind w:firstLine="180"/>
      </w:pPr>
      <w:r>
        <w:rPr>
          <w:color w:val="000000"/>
        </w:rPr>
        <w:t xml:space="preserve">At Worcester Polytechnic Institute, we are constantly being educated on the hazards associated with being a lab member and reminded to uphold these safety precautions. This involves lab members adhering to safety protocols including wearing protective personal equipment (PPE) both in academic and research laboratories. </w:t>
      </w:r>
      <w:r w:rsidR="00E74A79">
        <w:rPr>
          <w:color w:val="000000"/>
        </w:rPr>
        <w:t>Considering</w:t>
      </w:r>
      <w:r>
        <w:rPr>
          <w:color w:val="000000"/>
        </w:rPr>
        <w:t xml:space="preserve"> the COVID-19 pandemic, we became markedly aware how important PPE, namely wearing face masks, is to </w:t>
      </w:r>
      <w:r w:rsidR="00E74A79">
        <w:rPr>
          <w:color w:val="000000"/>
        </w:rPr>
        <w:t>protect</w:t>
      </w:r>
      <w:r>
        <w:rPr>
          <w:color w:val="000000"/>
        </w:rPr>
        <w:t xml:space="preserve"> yourself and those around you. The procedures we had to follow mimicked those often seen in hospitals. Such as doctors </w:t>
      </w:r>
      <w:r w:rsidR="00E74A79">
        <w:rPr>
          <w:color w:val="000000"/>
        </w:rPr>
        <w:t>must</w:t>
      </w:r>
      <w:r>
        <w:rPr>
          <w:color w:val="000000"/>
        </w:rPr>
        <w:t xml:space="preserve"> care for their patients, we had to take on a new level of responsibilities for the people around us. Reflecting on our own experiences, we wanted to further explore how to create a culture of safety to instill this in our own lives.</w:t>
      </w:r>
    </w:p>
    <w:p w14:paraId="2ED67A34" w14:textId="46999AA3" w:rsidR="00CA2F24" w:rsidRDefault="00CA2F24" w:rsidP="00587E40">
      <w:pPr>
        <w:pStyle w:val="NormalWeb"/>
        <w:spacing w:before="240" w:beforeAutospacing="0" w:after="240" w:afterAutospacing="0" w:line="276" w:lineRule="auto"/>
        <w:ind w:firstLine="90"/>
      </w:pPr>
      <w:r>
        <w:rPr>
          <w:color w:val="000000"/>
        </w:rPr>
        <w:t>The next piece of this research is focused on analyzing the culture of safety in rural New York hospitals. No previous works have been done to quantify and measure the culture of safety in these areas. In doing this, we hoped to gain further insight into the culture of safety which exists in other medical environments, so we can take away factors they use to apply this in daily life. Our project started with the hypothesis that if hospitals had a poor culture of safety among their staff and employees, then they would also have poor patient outcomes. Through this, we hoped to gain further insight into the patient doctor relationships and how hospitals maintain a culture of safety.</w:t>
      </w:r>
    </w:p>
    <w:p w14:paraId="316C5607" w14:textId="3CA8B28C" w:rsidR="00386ACD" w:rsidRPr="00CA2F24" w:rsidRDefault="00386ACD" w:rsidP="00B74319">
      <w:pPr>
        <w:pStyle w:val="Heading1"/>
        <w:rPr>
          <w:sz w:val="40"/>
          <w:szCs w:val="40"/>
        </w:rPr>
      </w:pPr>
      <w:bookmarkStart w:id="109" w:name="_Toc102048581"/>
      <w:r w:rsidRPr="00CA2F24">
        <w:rPr>
          <w:sz w:val="40"/>
          <w:szCs w:val="40"/>
        </w:rPr>
        <w:t>Abstract</w:t>
      </w:r>
      <w:bookmarkEnd w:id="109"/>
    </w:p>
    <w:p w14:paraId="486FF92B" w14:textId="4196800B" w:rsidR="00386ACD" w:rsidRPr="00765B05" w:rsidRDefault="00386ACD" w:rsidP="00587E40">
      <w:pPr>
        <w:pStyle w:val="NormalWeb"/>
        <w:spacing w:before="0" w:beforeAutospacing="0" w:after="240" w:afterAutospacing="0" w:line="276" w:lineRule="auto"/>
        <w:ind w:firstLine="180"/>
        <w:textAlignment w:val="baseline"/>
        <w:rPr>
          <w:color w:val="000000"/>
        </w:rPr>
      </w:pPr>
      <w:r w:rsidRPr="00765B05">
        <w:rPr>
          <w:color w:val="000000"/>
        </w:rPr>
        <w:t xml:space="preserve">Research laboratories are places where hypotheses get tested and ideas become reality. While labs are the center of cutting-edge science, they contain more hazards and risks than the regular workplace. No matter what research is being conducted, it is vital for any lab member to understand the hazards existing in the environment around them so that they don't put themselves, other lab members, and the research at risk. When completing our separate biochemistry Major Qualifying Projects at Worcester Polytechnic Institute and the University of Massachusetts Medical School were required to obtain training to protect ourselves from chemical, physical, and biological hazards. In relation to this, we explored the outcomes of weak and strong cultures of safety in individual institutions. We hypothesized that if there is a poor culture of safety in any institution, indicated by the number of occupational hazards, there would also be poor work results. Due to access to information, we analyzed New York hospital data in relation to compensation claims and patient outcomes, which were indicative of occupational and patient safety culture respectively. We then quantitatively correlated the hospital's patient safety grade with occupational hazards in the hospitals. By examining trends and using statistical analysis, we demonstrate that hospitals with better note-taking abilities or ‘measurement robustness,’ tend to have better patient outcomes. The results elucidate ‘you are what you measure,’ and organizations that put the effort into recording their practices, tend to have better work outcomes.  </w:t>
      </w:r>
    </w:p>
    <w:p w14:paraId="1D11849B" w14:textId="2EA69335" w:rsidR="005F6941" w:rsidRDefault="005F6941" w:rsidP="005F6941">
      <w:pPr>
        <w:pStyle w:val="Heading1"/>
        <w:rPr>
          <w:rFonts w:ascii="Segoe UI" w:hAnsi="Segoe UI" w:cs="Segoe UI"/>
          <w:color w:val="2F5496"/>
          <w:sz w:val="18"/>
          <w:szCs w:val="18"/>
        </w:rPr>
      </w:pPr>
      <w:bookmarkStart w:id="110" w:name="_Toc102048582"/>
      <w:r>
        <w:rPr>
          <w:rStyle w:val="normaltextrun"/>
          <w:sz w:val="40"/>
          <w:szCs w:val="40"/>
        </w:rPr>
        <w:lastRenderedPageBreak/>
        <w:t>Chapter 1: Introduction</w:t>
      </w:r>
      <w:bookmarkEnd w:id="110"/>
      <w:r>
        <w:rPr>
          <w:rStyle w:val="normaltextrun"/>
          <w:sz w:val="40"/>
          <w:szCs w:val="40"/>
        </w:rPr>
        <w:t> </w:t>
      </w:r>
      <w:r>
        <w:rPr>
          <w:rStyle w:val="eop"/>
          <w:sz w:val="40"/>
          <w:szCs w:val="40"/>
        </w:rPr>
        <w:t> </w:t>
      </w:r>
    </w:p>
    <w:p w14:paraId="1DCE042D" w14:textId="72F46018" w:rsidR="00E17DB7" w:rsidRDefault="00E17DB7" w:rsidP="00587E40">
      <w:pPr>
        <w:pStyle w:val="paragraph"/>
        <w:spacing w:before="0" w:beforeAutospacing="0" w:after="0" w:afterAutospacing="0" w:line="276" w:lineRule="auto"/>
        <w:ind w:firstLine="90"/>
        <w:textAlignment w:val="baseline"/>
        <w:rPr>
          <w:rStyle w:val="eop"/>
          <w:rFonts w:eastAsiaTheme="majorEastAsia"/>
          <w:color w:val="000000"/>
        </w:rPr>
      </w:pPr>
      <w:r>
        <w:rPr>
          <w:rStyle w:val="normaltextrun"/>
          <w:color w:val="000000"/>
        </w:rPr>
        <w:t>As biochemistry students, we are ingrained with extensive and repetitive training of how important laboratory safety is for both our protection and the overall success of our research. These training sessions cover biological, chemical, and physical hazards which include proper waste disposal and what proper protection equipment is required. However, other institutions may not have the same access or priorities to these kinds of training, and thus have less developed cultures of safety. </w:t>
      </w:r>
      <w:r>
        <w:rPr>
          <w:rStyle w:val="eop"/>
          <w:rFonts w:eastAsiaTheme="majorEastAsia"/>
          <w:color w:val="000000"/>
        </w:rPr>
        <w:t> </w:t>
      </w:r>
    </w:p>
    <w:p w14:paraId="24177B05" w14:textId="77777777" w:rsidR="00B636ED" w:rsidRDefault="00B636ED" w:rsidP="00E74A79">
      <w:pPr>
        <w:pStyle w:val="paragraph"/>
        <w:spacing w:before="0" w:beforeAutospacing="0" w:after="0" w:afterAutospacing="0" w:line="276" w:lineRule="auto"/>
        <w:textAlignment w:val="baseline"/>
        <w:rPr>
          <w:rFonts w:ascii="Segoe UI" w:hAnsi="Segoe UI" w:cs="Segoe UI"/>
          <w:sz w:val="18"/>
          <w:szCs w:val="18"/>
        </w:rPr>
      </w:pPr>
    </w:p>
    <w:p w14:paraId="0382ECB9" w14:textId="196486AE" w:rsidR="00E17DB7" w:rsidRDefault="00E17DB7" w:rsidP="00587E40">
      <w:pPr>
        <w:pStyle w:val="paragraph"/>
        <w:spacing w:before="0" w:beforeAutospacing="0" w:after="0" w:afterAutospacing="0" w:line="276" w:lineRule="auto"/>
        <w:ind w:firstLine="90"/>
        <w:textAlignment w:val="baseline"/>
        <w:rPr>
          <w:rStyle w:val="eop"/>
          <w:rFonts w:eastAsiaTheme="majorEastAsia"/>
          <w:color w:val="000000"/>
        </w:rPr>
      </w:pPr>
      <w:r>
        <w:rPr>
          <w:rStyle w:val="normaltextrun"/>
          <w:color w:val="000000"/>
        </w:rPr>
        <w:t xml:space="preserve">The impact that a poor culture of safety can have on employee lives can be seen in the Dupont Teflon crisis. Here, we see an extreme example of how massive corporations allow breaches of safety for their employees in a trade creating monetary gain and sustaining credibility. Every day employees went to their jobs unaware they were being exposed to toxic chemicals without the proper protective equipment. Hundreds of people's lives were immensely negatively impacted, while Dupont's upper management was acutely aware of the issues but did nothing to prevent it. Similar incidents are found in medical environments, where there are constant reports of a lack of personal protective equipment for medical staff. This was exceptionally seen during the COVID-19 pandemic when many hospital staff went on strike to protest budget reductions that hospital management made which directly affected the well-being of their lives. Other incidents were reported before the pandemic, such as nurses having increased spontaneous abortions through unknowingly being exposed to certain toxic chemicals. </w:t>
      </w:r>
      <w:r>
        <w:rPr>
          <w:rStyle w:val="eop"/>
          <w:rFonts w:eastAsiaTheme="majorEastAsia"/>
          <w:color w:val="000000"/>
        </w:rPr>
        <w:t> </w:t>
      </w:r>
    </w:p>
    <w:p w14:paraId="408F8027" w14:textId="77777777" w:rsidR="00587E40" w:rsidRDefault="00587E40" w:rsidP="00E74A79">
      <w:pPr>
        <w:pStyle w:val="paragraph"/>
        <w:spacing w:before="0" w:beforeAutospacing="0" w:after="0" w:afterAutospacing="0" w:line="276" w:lineRule="auto"/>
        <w:textAlignment w:val="baseline"/>
        <w:rPr>
          <w:rFonts w:ascii="Segoe UI" w:hAnsi="Segoe UI" w:cs="Segoe UI"/>
          <w:sz w:val="18"/>
          <w:szCs w:val="18"/>
        </w:rPr>
      </w:pPr>
    </w:p>
    <w:p w14:paraId="50C0156D" w14:textId="1B557F3C" w:rsidR="00E17DB7" w:rsidRDefault="00E17DB7" w:rsidP="00587E40">
      <w:pPr>
        <w:pStyle w:val="paragraph"/>
        <w:spacing w:before="0" w:beforeAutospacing="0" w:after="0" w:afterAutospacing="0" w:line="276" w:lineRule="auto"/>
        <w:ind w:firstLine="180"/>
        <w:textAlignment w:val="baseline"/>
        <w:rPr>
          <w:rStyle w:val="eop"/>
          <w:rFonts w:eastAsiaTheme="majorEastAsia"/>
          <w:color w:val="000000"/>
        </w:rPr>
      </w:pPr>
      <w:r>
        <w:rPr>
          <w:rStyle w:val="normaltextrun"/>
          <w:color w:val="000000"/>
        </w:rPr>
        <w:t>In our research on culture of safety, we were unable to find studies that quantitatively assessed culture of safety in any capacity in hospital settings. As life science students, we found this troubling, as we felt that assigning numerical values to certain culture of safety factors would allow comparison and identification of gaps in safety standards, especially in a clinical environment. Through our examination of New York Hospitals, we quantitatively assessed whether a poor culture of safety is linked to poor patient outcomes. We hypothesized that increased occupational hazards would lead to a worse patient outcome.</w:t>
      </w:r>
      <w:r>
        <w:rPr>
          <w:rStyle w:val="eop"/>
          <w:rFonts w:eastAsiaTheme="majorEastAsia"/>
          <w:color w:val="000000"/>
        </w:rPr>
        <w:t> </w:t>
      </w:r>
    </w:p>
    <w:p w14:paraId="39FEE2A9" w14:textId="77777777" w:rsidR="00587E40" w:rsidRDefault="00587E40" w:rsidP="00587E40">
      <w:pPr>
        <w:pStyle w:val="paragraph"/>
        <w:spacing w:before="0" w:beforeAutospacing="0" w:after="0" w:afterAutospacing="0" w:line="276" w:lineRule="auto"/>
        <w:ind w:firstLine="180"/>
        <w:textAlignment w:val="baseline"/>
        <w:rPr>
          <w:rFonts w:ascii="Segoe UI" w:hAnsi="Segoe UI" w:cs="Segoe UI"/>
          <w:sz w:val="18"/>
          <w:szCs w:val="18"/>
        </w:rPr>
      </w:pPr>
    </w:p>
    <w:p w14:paraId="222A27B6" w14:textId="720C007D" w:rsidR="00386ACD" w:rsidRPr="00832FB5" w:rsidRDefault="00E17DB7" w:rsidP="00832FB5">
      <w:pPr>
        <w:pStyle w:val="paragraph"/>
        <w:spacing w:before="0" w:beforeAutospacing="0" w:after="0" w:afterAutospacing="0" w:line="276" w:lineRule="auto"/>
        <w:ind w:firstLine="180"/>
        <w:textAlignment w:val="baseline"/>
        <w:rPr>
          <w:rFonts w:ascii="Segoe UI" w:hAnsi="Segoe UI" w:cs="Segoe UI"/>
          <w:sz w:val="18"/>
          <w:szCs w:val="18"/>
        </w:rPr>
      </w:pPr>
      <w:r>
        <w:rPr>
          <w:rStyle w:val="normaltextrun"/>
          <w:color w:val="000000"/>
        </w:rPr>
        <w:t xml:space="preserve">To quantify the culture of safety, we created a data set in two steps. The number of occupational hazards was determined from the NYS Assembled Workers compensation claims dataset. Hospitals don’t often publicly publish any information informing occupational hazards at their institutions. Therefore, we summed the number of occupational hazards by zip code that was self-reported. In tandem with this, we assessed patient outcomes, used the Medicare website, and independently developed a criterion to rank the New York hospitals. The grading criteria were designed to encompass multiple patient outcomes to common procedures to be able to compare hospitals with ease. Using these two datasets in conjunction with other standardization metrics, we proceeded to analyze the numerical values assigned. We determined if there was a correlation between the quality of patient care and the culture of safety for healthcare workers. Based on the results, we identified indicators and causation factors of a poor culture of safety. </w:t>
      </w:r>
    </w:p>
    <w:p w14:paraId="5E3E5FAD" w14:textId="504E4A4C" w:rsidR="0047060D" w:rsidRPr="00B123B4" w:rsidRDefault="00B26C10" w:rsidP="00B74319">
      <w:pPr>
        <w:pStyle w:val="Heading1"/>
        <w:rPr>
          <w:sz w:val="40"/>
          <w:szCs w:val="40"/>
        </w:rPr>
      </w:pPr>
      <w:bookmarkStart w:id="111" w:name="_Toc102048583"/>
      <w:r w:rsidRPr="00B123B4">
        <w:rPr>
          <w:rStyle w:val="normaltextrun"/>
          <w:sz w:val="40"/>
          <w:szCs w:val="40"/>
        </w:rPr>
        <w:lastRenderedPageBreak/>
        <w:t>Chapter 2: Literature Review</w:t>
      </w:r>
      <w:bookmarkEnd w:id="111"/>
      <w:r w:rsidRPr="00B123B4">
        <w:rPr>
          <w:rStyle w:val="normaltextrun"/>
          <w:sz w:val="40"/>
          <w:szCs w:val="40"/>
        </w:rPr>
        <w:t> </w:t>
      </w:r>
      <w:r w:rsidRPr="00B123B4">
        <w:rPr>
          <w:rStyle w:val="eop"/>
          <w:sz w:val="40"/>
          <w:szCs w:val="40"/>
        </w:rPr>
        <w:t> </w:t>
      </w:r>
    </w:p>
    <w:p w14:paraId="709E3C02" w14:textId="49FB372F" w:rsidR="009D0D96" w:rsidRPr="006B6C94" w:rsidRDefault="009D0D96" w:rsidP="006B6C94">
      <w:pPr>
        <w:pStyle w:val="Heading2"/>
      </w:pPr>
      <w:bookmarkStart w:id="112" w:name="_Toc102048584"/>
      <w:r w:rsidRPr="006B6C94">
        <w:rPr>
          <w:rStyle w:val="normaltextrun"/>
        </w:rPr>
        <w:t>Section 2.1: What is an Occupational Hazard?</w:t>
      </w:r>
      <w:bookmarkEnd w:id="112"/>
      <w:r w:rsidRPr="006B6C94">
        <w:rPr>
          <w:rStyle w:val="eop"/>
          <w:rFonts w:eastAsiaTheme="majorEastAsia"/>
        </w:rPr>
        <w:t> </w:t>
      </w:r>
    </w:p>
    <w:p w14:paraId="7D8257CC" w14:textId="019A6A20" w:rsidR="009E7E35" w:rsidRPr="009E7E35" w:rsidRDefault="009D0D96" w:rsidP="00832FB5">
      <w:pPr>
        <w:pStyle w:val="paragraph"/>
        <w:spacing w:before="0" w:beforeAutospacing="0" w:after="0" w:afterAutospacing="0" w:line="276" w:lineRule="auto"/>
        <w:ind w:firstLine="180"/>
        <w:textAlignment w:val="baseline"/>
        <w:rPr>
          <w:rStyle w:val="normaltextrun"/>
          <w:rFonts w:eastAsiaTheme="majorEastAsia"/>
          <w:color w:val="000000"/>
        </w:rPr>
      </w:pPr>
      <w:r>
        <w:rPr>
          <w:rStyle w:val="normaltextrun"/>
          <w:color w:val="000000"/>
        </w:rPr>
        <w:t>Occupational Safety and Health Administration (OSHA) defines an occupational hazard as a risk associated with working in a specific occupation (Department of Labor, 2022). These risks are classified as either long-term, where they directly cause stressors to the body, or short-term, where they cause emotional stress. Both short-term and long-term occupational hazards can directly affect the workplace environment through a decrease in physical and emotional safety. Hazards can be separated into four separate categories: physical, chemical, biological, and ergonomic risk factors. Each of these categories causes varying degrees of long- and short-term impacts, with a large influence stemming from human factors. (Department of Labor, 2022). Human factors are defined by the World Health Organization as “individual characteristics which influence behavior at work in a way which can affect health and safety” such as daily tasks, working environment, policies, and attitudes. Workplace environments that do not properly monitor occupational hazards and allow for an unsafe work environment have proven to have significant negative impacts on the culture of safety and cause detriments to the lives of workers both in and out of the workplace (Department of Labor, 2022). The focus of our project was to assess these culture of safety violations and determine how occupational hazards were interconnected.</w:t>
      </w:r>
      <w:r>
        <w:rPr>
          <w:rStyle w:val="eop"/>
          <w:rFonts w:eastAsiaTheme="majorEastAsia"/>
          <w:color w:val="000000"/>
        </w:rPr>
        <w:t> </w:t>
      </w:r>
    </w:p>
    <w:p w14:paraId="20385791" w14:textId="2EF1637C" w:rsidR="00DE7FDC" w:rsidRPr="00CC2633" w:rsidRDefault="00DE7FDC" w:rsidP="00B123B4">
      <w:pPr>
        <w:pStyle w:val="Heading3"/>
        <w:rPr>
          <w:sz w:val="18"/>
          <w:szCs w:val="18"/>
        </w:rPr>
      </w:pPr>
      <w:bookmarkStart w:id="113" w:name="_Toc102048585"/>
      <w:r w:rsidRPr="00CC2633">
        <w:rPr>
          <w:rStyle w:val="normaltextrun"/>
          <w:b w:val="0"/>
          <w:bCs w:val="0"/>
          <w:i/>
          <w:iCs/>
        </w:rPr>
        <w:t>Section 2.1.1: DuPont</w:t>
      </w:r>
      <w:r w:rsidR="006C0C26" w:rsidRPr="00CC2633">
        <w:rPr>
          <w:rStyle w:val="normaltextrun"/>
          <w:b w:val="0"/>
          <w:bCs w:val="0"/>
          <w:i/>
          <w:iCs/>
        </w:rPr>
        <w:t>-</w:t>
      </w:r>
      <w:r w:rsidRPr="00CC2633">
        <w:rPr>
          <w:rStyle w:val="normaltextrun"/>
          <w:b w:val="0"/>
          <w:bCs w:val="0"/>
          <w:i/>
          <w:iCs/>
        </w:rPr>
        <w:t xml:space="preserve">Making a Toxic </w:t>
      </w:r>
      <w:r w:rsidRPr="00CC2633">
        <w:rPr>
          <w:b w:val="0"/>
          <w:bCs w:val="0"/>
          <w:i/>
          <w:iCs/>
        </w:rPr>
        <w:t>Product</w:t>
      </w:r>
      <w:bookmarkEnd w:id="113"/>
      <w:r w:rsidRPr="00CC2633">
        <w:rPr>
          <w:rStyle w:val="normaltextrun"/>
          <w:b w:val="0"/>
          <w:bCs w:val="0"/>
          <w:i/>
          <w:iCs/>
        </w:rPr>
        <w:t xml:space="preserve"> </w:t>
      </w:r>
      <w:r w:rsidRPr="00CC2633">
        <w:rPr>
          <w:rStyle w:val="eop"/>
          <w:rFonts w:eastAsiaTheme="majorEastAsia"/>
          <w:b w:val="0"/>
          <w:bCs w:val="0"/>
          <w:i/>
          <w:iCs/>
        </w:rPr>
        <w:t> </w:t>
      </w:r>
    </w:p>
    <w:p w14:paraId="2C842553" w14:textId="1C0F6136" w:rsidR="00DE7FDC" w:rsidRDefault="00DE7FDC" w:rsidP="00832FB5">
      <w:pPr>
        <w:pStyle w:val="paragraph"/>
        <w:spacing w:before="0" w:beforeAutospacing="0" w:after="0" w:afterAutospacing="0" w:line="276" w:lineRule="auto"/>
        <w:ind w:firstLine="180"/>
        <w:textAlignment w:val="baseline"/>
        <w:rPr>
          <w:rStyle w:val="eop"/>
          <w:rFonts w:eastAsiaTheme="majorEastAsia"/>
          <w:color w:val="000000"/>
        </w:rPr>
      </w:pPr>
      <w:r>
        <w:rPr>
          <w:rStyle w:val="normaltextrun"/>
          <w:color w:val="000000"/>
        </w:rPr>
        <w:t>Investigating case-studies regarding violations of safety culture helps build an understanding of how and why they occur. Violations of culture of safety due to occupational hazards can notably be seen in the DuPont lawsuit. In 2017, DuPont agreed to pay approximately 617$ million to settle thousands of lawsuits brought against them in relation to their product, Teflon, which was responsible for the widespread intoxication of C8 (Rich 2016). C8 is the common term for Perfluorooctanoic which is per fluorinated carboxylic acid produced and used worldwide as an industrial surfactant in chemical processes and as a material feedstock. Widespread intoxication is a concern because in 2012, after seven years of study, a panel of public health experts released a report documenting a probable link between C8 and six conditions: testicular cancer, kidney cancer, thyroid disease, ulcerative colitis, pregnancy-induced hypertension, and high cholesterol (Sisk 2021). According to a 2007 study, C8 is in the blood of 99.7% Americans, earning the name the ‘forever chemical’ since it never degrades. Further studies have identified that a majority of the C8 found in the systems of Americans is from Teflon products, such as their non-stick pans (Sisk, 2021).</w:t>
      </w:r>
      <w:r>
        <w:rPr>
          <w:rStyle w:val="eop"/>
          <w:rFonts w:eastAsiaTheme="majorEastAsia"/>
          <w:color w:val="000000"/>
        </w:rPr>
        <w:t> </w:t>
      </w:r>
    </w:p>
    <w:p w14:paraId="15112219" w14:textId="77777777" w:rsidR="00832FB5" w:rsidRDefault="00832FB5" w:rsidP="00832FB5">
      <w:pPr>
        <w:pStyle w:val="paragraph"/>
        <w:spacing w:before="0" w:beforeAutospacing="0" w:after="0" w:afterAutospacing="0" w:line="276" w:lineRule="auto"/>
        <w:ind w:firstLine="180"/>
        <w:textAlignment w:val="baseline"/>
        <w:rPr>
          <w:rFonts w:ascii="Segoe UI" w:hAnsi="Segoe UI" w:cs="Segoe UI"/>
          <w:sz w:val="18"/>
          <w:szCs w:val="18"/>
        </w:rPr>
      </w:pPr>
    </w:p>
    <w:p w14:paraId="6498BE36" w14:textId="77777777" w:rsidR="00DE7FDC" w:rsidRDefault="00DE7FDC" w:rsidP="00E86EC7">
      <w:pPr>
        <w:pStyle w:val="paragraph"/>
        <w:spacing w:before="0" w:beforeAutospacing="0" w:after="0" w:afterAutospacing="0" w:line="276" w:lineRule="auto"/>
        <w:ind w:firstLine="180"/>
        <w:textAlignment w:val="baseline"/>
        <w:rPr>
          <w:rFonts w:ascii="Segoe UI" w:hAnsi="Segoe UI" w:cs="Segoe UI"/>
          <w:sz w:val="18"/>
          <w:szCs w:val="18"/>
        </w:rPr>
      </w:pPr>
      <w:r>
        <w:rPr>
          <w:rStyle w:val="normaltextrun"/>
          <w:color w:val="000000"/>
        </w:rPr>
        <w:t xml:space="preserve">On record, previous female Dupont employees reported being moved to different departments unexpectedly when they became pregnant. From this group, a percentage of the children born to </w:t>
      </w:r>
      <w:r>
        <w:rPr>
          <w:rStyle w:val="normaltextrun"/>
          <w:color w:val="000000"/>
        </w:rPr>
        <w:lastRenderedPageBreak/>
        <w:t>these employees had physical deformities and demonstrated elevated C8 in their systems. In addition, many of the workers who were exposed to C8 for extended periods of time developed rare forms of cancer directly linked to C8 intoxication. It was discovered that DuPont had been aware since at least the 1960s that C8 was toxic in animals and since the 1970s that there were high concentrations of it in the blood of its factory workers. DuPont scientists were aware in the early 1990s of links to cancerous tumors from C8 exposure, however, company executives failed to inform the Environmental Protection Agency [EPA] or the public (Sisk, 2021) (Rich, 2016). </w:t>
      </w:r>
      <w:r>
        <w:rPr>
          <w:rStyle w:val="eop"/>
          <w:rFonts w:eastAsiaTheme="majorEastAsia"/>
          <w:color w:val="000000"/>
        </w:rPr>
        <w:t> </w:t>
      </w:r>
    </w:p>
    <w:p w14:paraId="52C60E62" w14:textId="53FB15A5" w:rsidR="00DE7FDC" w:rsidRDefault="00DE7FDC" w:rsidP="00E74A79">
      <w:pPr>
        <w:pStyle w:val="paragraph"/>
        <w:spacing w:before="0" w:beforeAutospacing="0" w:after="0" w:afterAutospacing="0" w:line="276" w:lineRule="auto"/>
        <w:textAlignment w:val="baseline"/>
        <w:rPr>
          <w:rStyle w:val="normaltextrun"/>
          <w:color w:val="000000"/>
        </w:rPr>
      </w:pPr>
      <w:r>
        <w:rPr>
          <w:rStyle w:val="normaltextrun"/>
          <w:color w:val="000000"/>
        </w:rPr>
        <w:t>Due to failed management and lack of transparency, Dupont created an unsafe workplace environment which affected not only their employees' lives, but also their families and the surrounding town area. Lack of proper chemical management led to the development of increased cancer risk as well as birth defects; casualties could have been avoided if management had investigated and created proper safety protocols to decrease exposure to their employees. Dupont exemplifies what a poor culture of safety can cause: an increase in both long- and short-term occupational hazards. This, in turn, has resounding impacts on their employees' lives.</w:t>
      </w:r>
    </w:p>
    <w:p w14:paraId="1F8530BF" w14:textId="396BFE06" w:rsidR="00CD404F" w:rsidRPr="003F7631" w:rsidRDefault="00CD404F" w:rsidP="00B123B4">
      <w:pPr>
        <w:pStyle w:val="Heading3"/>
        <w:rPr>
          <w:rFonts w:ascii="Segoe UI" w:hAnsi="Segoe UI" w:cs="Segoe UI"/>
          <w:sz w:val="18"/>
          <w:szCs w:val="18"/>
        </w:rPr>
      </w:pPr>
      <w:bookmarkStart w:id="114" w:name="_Toc102048586"/>
      <w:r w:rsidRPr="003F7631">
        <w:rPr>
          <w:rStyle w:val="normaltextrun"/>
          <w:rFonts w:ascii="Calibri Light" w:hAnsi="Calibri Light" w:cs="Calibri Light"/>
          <w:b w:val="0"/>
          <w:bCs w:val="0"/>
          <w:i/>
          <w:iCs/>
        </w:rPr>
        <w:t>Section 2.1.2</w:t>
      </w:r>
      <w:r w:rsidR="00C11AE4" w:rsidRPr="003F7631">
        <w:rPr>
          <w:rStyle w:val="normaltextrun"/>
          <w:rFonts w:ascii="Calibri Light" w:hAnsi="Calibri Light" w:cs="Calibri Light"/>
          <w:b w:val="0"/>
          <w:bCs w:val="0"/>
          <w:i/>
          <w:iCs/>
        </w:rPr>
        <w:t xml:space="preserve">: </w:t>
      </w:r>
      <w:r w:rsidRPr="003F7631">
        <w:rPr>
          <w:rStyle w:val="normaltextrun"/>
          <w:rFonts w:ascii="Calibri Light" w:hAnsi="Calibri Light" w:cs="Calibri Light"/>
          <w:b w:val="0"/>
          <w:bCs w:val="0"/>
          <w:i/>
          <w:iCs/>
        </w:rPr>
        <w:t>Hazards in the Hospital Environment: Hospital Personnel at Risk</w:t>
      </w:r>
      <w:bookmarkEnd w:id="114"/>
      <w:r w:rsidRPr="003F7631">
        <w:rPr>
          <w:rStyle w:val="eop"/>
          <w:rFonts w:ascii="Calibri Light" w:eastAsiaTheme="majorEastAsia" w:hAnsi="Calibri Light" w:cs="Calibri Light"/>
          <w:b w:val="0"/>
          <w:bCs w:val="0"/>
          <w:i/>
          <w:iCs/>
        </w:rPr>
        <w:t> </w:t>
      </w:r>
    </w:p>
    <w:p w14:paraId="53ABC004" w14:textId="1A20FAE2" w:rsidR="00CD404F" w:rsidRDefault="00CD404F" w:rsidP="00E86EC7">
      <w:pPr>
        <w:pStyle w:val="paragraph"/>
        <w:spacing w:before="0" w:beforeAutospacing="0" w:after="0" w:afterAutospacing="0" w:line="276" w:lineRule="auto"/>
        <w:ind w:firstLine="180"/>
        <w:textAlignment w:val="baseline"/>
        <w:rPr>
          <w:rStyle w:val="eop"/>
          <w:rFonts w:eastAsiaTheme="majorEastAsia"/>
        </w:rPr>
      </w:pPr>
      <w:r>
        <w:rPr>
          <w:rStyle w:val="normaltextrun"/>
        </w:rPr>
        <w:t>Our study looked directly at the culture of safety in a hospital environment. To do this, we must understand the work environment that exists for clinicians and other hospital personnel. Hospital personnel and staff are exposed daily to various types of occupational hazards such as physical and chemical dangers, radiation, infectious risks, and psychosocial problems prevalent in hospitals (</w:t>
      </w:r>
      <w:proofErr w:type="spellStart"/>
      <w:r>
        <w:rPr>
          <w:rStyle w:val="normaltextrun"/>
        </w:rPr>
        <w:t>Jachuck</w:t>
      </w:r>
      <w:proofErr w:type="spellEnd"/>
      <w:r>
        <w:rPr>
          <w:rStyle w:val="normaltextrun"/>
        </w:rPr>
        <w:t xml:space="preserve"> et al, 1989) (CEB, 1985). Exposure to toxic chemicals encompasses a wide distribution of hazards since they can range from minor skin irritation to possible carcinogenic (CEB, 1985).</w:t>
      </w:r>
      <w:r>
        <w:rPr>
          <w:rStyle w:val="eop"/>
          <w:rFonts w:eastAsiaTheme="majorEastAsia"/>
        </w:rPr>
        <w:t> </w:t>
      </w:r>
    </w:p>
    <w:p w14:paraId="7E4570E9" w14:textId="77777777" w:rsidR="00E86EC7" w:rsidRDefault="00E86EC7" w:rsidP="00E74A79">
      <w:pPr>
        <w:pStyle w:val="paragraph"/>
        <w:spacing w:before="0" w:beforeAutospacing="0" w:after="0" w:afterAutospacing="0" w:line="276" w:lineRule="auto"/>
        <w:textAlignment w:val="baseline"/>
        <w:rPr>
          <w:rFonts w:ascii="Segoe UI" w:hAnsi="Segoe UI" w:cs="Segoe UI"/>
          <w:sz w:val="18"/>
          <w:szCs w:val="18"/>
        </w:rPr>
      </w:pPr>
    </w:p>
    <w:p w14:paraId="7EF22EDE" w14:textId="2D383B4C" w:rsidR="00CD404F" w:rsidRDefault="00CD404F" w:rsidP="00E86EC7">
      <w:pPr>
        <w:pStyle w:val="paragraph"/>
        <w:spacing w:before="0" w:beforeAutospacing="0" w:after="0" w:afterAutospacing="0" w:line="276" w:lineRule="auto"/>
        <w:ind w:firstLine="180"/>
        <w:textAlignment w:val="baseline"/>
        <w:rPr>
          <w:rStyle w:val="eop"/>
          <w:rFonts w:eastAsiaTheme="majorEastAsia"/>
          <w:color w:val="000000"/>
        </w:rPr>
      </w:pPr>
      <w:r>
        <w:rPr>
          <w:rStyle w:val="normaltextrun"/>
          <w:color w:val="000000"/>
        </w:rPr>
        <w:t>As mentioned previously, nurses face a wide range of workplace hazards including dangerous chemicals and drugs. They also face sharp injuries, back injuries, violence, and stress. Despite consistently being exposed to hazards, nurses and related medical personnel consistently face the lack of personal protection equipment (PPE). During the COVID-19 pandemic, nurses reported a deficiency in face shields and masks. Lack of available PPE puts nurses in direct danger, both from viral infections such as COVID-19 and other hazards found in the workplace (Cohen et al, 2020). Failure to provide this PPE not only puts nurses, but the entirety of the healthcare system at risk as it decreases the effectiveness of caregivers. </w:t>
      </w:r>
      <w:r>
        <w:rPr>
          <w:rStyle w:val="eop"/>
          <w:rFonts w:eastAsiaTheme="majorEastAsia"/>
          <w:color w:val="000000"/>
        </w:rPr>
        <w:t> </w:t>
      </w:r>
    </w:p>
    <w:p w14:paraId="61479166" w14:textId="77777777" w:rsidR="00E86EC7" w:rsidRDefault="00E86EC7" w:rsidP="00E86EC7">
      <w:pPr>
        <w:pStyle w:val="paragraph"/>
        <w:spacing w:before="0" w:beforeAutospacing="0" w:after="0" w:afterAutospacing="0" w:line="276" w:lineRule="auto"/>
        <w:ind w:firstLine="180"/>
        <w:textAlignment w:val="baseline"/>
        <w:rPr>
          <w:rFonts w:ascii="Segoe UI" w:hAnsi="Segoe UI" w:cs="Segoe UI"/>
          <w:sz w:val="18"/>
          <w:szCs w:val="18"/>
        </w:rPr>
      </w:pPr>
    </w:p>
    <w:p w14:paraId="2BFCFD8D" w14:textId="425F0389" w:rsidR="00CD404F" w:rsidRPr="00F556A9" w:rsidRDefault="00CD404F" w:rsidP="00F556A9">
      <w:pPr>
        <w:pStyle w:val="paragraph"/>
        <w:spacing w:before="0" w:beforeAutospacing="0" w:after="0" w:afterAutospacing="0" w:line="276" w:lineRule="auto"/>
        <w:ind w:firstLine="180"/>
        <w:textAlignment w:val="baseline"/>
        <w:rPr>
          <w:color w:val="000000"/>
        </w:rPr>
      </w:pPr>
      <w:r>
        <w:rPr>
          <w:rStyle w:val="normaltextrun"/>
          <w:color w:val="000000"/>
        </w:rPr>
        <w:t xml:space="preserve">Both viral and chemical exposures have been demonstrated to have an impact on the personal lives of nurses. Usage of chemicals such as anesthetic gas is an extremely common procedure, however, without proper PPE can cause harm to the nurses administering it. Female nurses have participated in studies to determine the effects of an antineoplastic drug exposure on birthing rates (Lawson 2013). Out of the 6707 live births included in the study, 775 reported spontaneous abortions 20 weeks before the due date. When factors such as age, parity, shift work, and hours worked were included, it was determined that excessive exposure with antineoplastic drug was </w:t>
      </w:r>
      <w:r>
        <w:rPr>
          <w:rStyle w:val="normaltextrun"/>
          <w:color w:val="000000"/>
        </w:rPr>
        <w:lastRenderedPageBreak/>
        <w:t>associated with a 2-fold increased risk of spontaneous abortion, particularly with early spontaneous abortion before the 12th week, and 3.5-fold increased risk among nulliparous women (</w:t>
      </w:r>
      <w:proofErr w:type="spellStart"/>
      <w:r>
        <w:rPr>
          <w:rStyle w:val="normaltextrun"/>
          <w:color w:val="000000"/>
        </w:rPr>
        <w:t>Triolo</w:t>
      </w:r>
      <w:proofErr w:type="spellEnd"/>
      <w:r>
        <w:rPr>
          <w:rStyle w:val="normaltextrun"/>
          <w:color w:val="000000"/>
        </w:rPr>
        <w:t xml:space="preserve"> 1989). In addition, nurses who were exposed to sterilizing agents, such as steam autoclaves, demonstrated a 2-fold increase in late spontaneous abortion (12-20 weeks). Irregular births in nurses due to exposure causes concerns for the occupational safety of them, but also for the safety of the patients they attend to. Decreased occupational safety may be correlated to worse patient care outcomes which may be reflective of the deficient culture of safety within the facility (Fleisher 2022).</w:t>
      </w:r>
    </w:p>
    <w:p w14:paraId="2397CA4A" w14:textId="1548D7B8" w:rsidR="00CD404F" w:rsidRPr="009E7E35" w:rsidRDefault="006C0C26" w:rsidP="00B123B4">
      <w:pPr>
        <w:pStyle w:val="Heading3"/>
      </w:pPr>
      <w:bookmarkStart w:id="115" w:name="_Toc102048587"/>
      <w:r w:rsidRPr="009E7E35">
        <w:rPr>
          <w:rStyle w:val="normaltextrun"/>
          <w:b w:val="0"/>
          <w:bCs w:val="0"/>
          <w:i/>
          <w:iCs/>
        </w:rPr>
        <w:t>Section 2.1.3: Preventative Measures</w:t>
      </w:r>
      <w:bookmarkEnd w:id="115"/>
    </w:p>
    <w:p w14:paraId="113837FA" w14:textId="77777777" w:rsidR="00CD404F" w:rsidRDefault="00CD404F" w:rsidP="00F556A9">
      <w:pPr>
        <w:pStyle w:val="paragraph"/>
        <w:spacing w:before="0" w:beforeAutospacing="0" w:after="0" w:afterAutospacing="0" w:line="276" w:lineRule="auto"/>
        <w:ind w:firstLine="90"/>
        <w:textAlignment w:val="baseline"/>
        <w:rPr>
          <w:rFonts w:ascii="Segoe UI" w:hAnsi="Segoe UI" w:cs="Segoe UI"/>
          <w:sz w:val="18"/>
          <w:szCs w:val="18"/>
        </w:rPr>
      </w:pPr>
      <w:r>
        <w:rPr>
          <w:rStyle w:val="normaltextrun"/>
        </w:rPr>
        <w:t>Most hospitals have an employee health service available to their employees to prevent hazards such as chemical exposure. However, many lack professional training to handle job-related risks and assessing appropriate preventive measures (CEB 1985). To combat this, some states have also passed “right-to-know" laws which require worker education about hazards in their work environment to increase knowledge and decrease accidents. The COVID-19 pandemic actively highlighted declining factors of US health care safety and the lack of resilience in safety culture infrastructure. Consistently, health care workers lacked sufficient materials to safely work in medical settings. Occurrences such as this call into question the maintenance of worker safety and the overall cultural safety of medical environments today (ECRI 2019). </w:t>
      </w:r>
      <w:r>
        <w:rPr>
          <w:rStyle w:val="normaltextrun"/>
          <w:sz w:val="22"/>
          <w:szCs w:val="22"/>
        </w:rPr>
        <w:t> </w:t>
      </w:r>
      <w:r>
        <w:rPr>
          <w:rStyle w:val="eop"/>
          <w:rFonts w:eastAsiaTheme="majorEastAsia"/>
          <w:sz w:val="22"/>
          <w:szCs w:val="22"/>
        </w:rPr>
        <w:t> </w:t>
      </w:r>
    </w:p>
    <w:p w14:paraId="76B36CF1" w14:textId="77777777" w:rsidR="00DE7FDC" w:rsidRDefault="00DE7FDC" w:rsidP="009D0D96">
      <w:pPr>
        <w:pStyle w:val="paragraph"/>
        <w:spacing w:before="0" w:beforeAutospacing="0" w:after="0" w:afterAutospacing="0"/>
        <w:textAlignment w:val="baseline"/>
        <w:rPr>
          <w:rFonts w:ascii="Segoe UI" w:hAnsi="Segoe UI" w:cs="Segoe UI"/>
          <w:sz w:val="18"/>
          <w:szCs w:val="18"/>
        </w:rPr>
      </w:pPr>
    </w:p>
    <w:p w14:paraId="6878B5F7" w14:textId="620F936A" w:rsidR="00C23628" w:rsidRPr="006B6C94" w:rsidRDefault="00C23628" w:rsidP="006B6C94">
      <w:pPr>
        <w:pStyle w:val="Heading2"/>
      </w:pPr>
      <w:bookmarkStart w:id="116" w:name="_Toc102048588"/>
      <w:r w:rsidRPr="006B6C94">
        <w:rPr>
          <w:rStyle w:val="normaltextrun"/>
        </w:rPr>
        <w:t xml:space="preserve">Section </w:t>
      </w:r>
      <w:r w:rsidR="00EA6601" w:rsidRPr="006B6C94">
        <w:rPr>
          <w:rStyle w:val="normaltextrun"/>
        </w:rPr>
        <w:t>2.2</w:t>
      </w:r>
      <w:r w:rsidR="00B97C21" w:rsidRPr="006B6C94">
        <w:rPr>
          <w:rStyle w:val="normaltextrun"/>
        </w:rPr>
        <w:t xml:space="preserve">: </w:t>
      </w:r>
      <w:r w:rsidRPr="006B6C94">
        <w:rPr>
          <w:rStyle w:val="normaltextrun"/>
        </w:rPr>
        <w:t>Culture of Safety in Health Care Systems</w:t>
      </w:r>
      <w:bookmarkEnd w:id="116"/>
      <w:r w:rsidRPr="006B6C94">
        <w:rPr>
          <w:rStyle w:val="normaltextrun"/>
        </w:rPr>
        <w:t> </w:t>
      </w:r>
      <w:r w:rsidRPr="006B6C94">
        <w:rPr>
          <w:rStyle w:val="eop"/>
          <w:rFonts w:eastAsiaTheme="majorEastAsia"/>
        </w:rPr>
        <w:t> </w:t>
      </w:r>
    </w:p>
    <w:p w14:paraId="1B2F1EE6" w14:textId="5F4DBCB0" w:rsidR="00B97C21" w:rsidRDefault="00C23628" w:rsidP="00F556A9">
      <w:pPr>
        <w:pStyle w:val="paragraph"/>
        <w:spacing w:before="0" w:beforeAutospacing="0" w:after="0" w:afterAutospacing="0" w:line="276" w:lineRule="auto"/>
        <w:ind w:firstLine="180"/>
        <w:textAlignment w:val="baseline"/>
        <w:rPr>
          <w:rStyle w:val="eop"/>
          <w:rFonts w:eastAsiaTheme="majorEastAsia"/>
          <w:color w:val="000000"/>
        </w:rPr>
      </w:pPr>
      <w:r>
        <w:rPr>
          <w:rStyle w:val="normaltextrun"/>
          <w:color w:val="000000"/>
        </w:rPr>
        <w:t>A culture of safety is defined as the attitudes and behaviors of the group and individuals toward patient safety within a healthcare facility. A culture of safety can most readily be observed through policy and leadership (ECRI, 2019, 10). Most of the time, a culture of safety is a reference to the relationship between the patient and the medical community made up of doctors, nurses, and other staff. When a patient is taken into care, an entire healthcare team is responsible for patient safety and must work together to ensure patients' well-being during treatment. A key component of ensuring patient safety is to document patient safety outcomes, including adverse events (Han Y et al., 2020). This touches upon another aspect of culture of safety: the ability of an organization to measure, recognize, and correct misidentifications, misspecifications, and misunderstandings that pose threats to safety (</w:t>
      </w:r>
      <w:proofErr w:type="spellStart"/>
      <w:r>
        <w:rPr>
          <w:rStyle w:val="normaltextrun"/>
          <w:color w:val="000000"/>
        </w:rPr>
        <w:t>Vogus</w:t>
      </w:r>
      <w:proofErr w:type="spellEnd"/>
      <w:r>
        <w:rPr>
          <w:rStyle w:val="normaltextrun"/>
          <w:color w:val="000000"/>
        </w:rPr>
        <w:t xml:space="preserve"> et al 2010). When conducting our research on the notion of ‘culture of safety', we focused on the quantitative portion of the definition: the ability of an organization to measure its patients' outcomes. </w:t>
      </w:r>
      <w:r>
        <w:rPr>
          <w:rStyle w:val="eop"/>
          <w:rFonts w:eastAsiaTheme="majorEastAsia"/>
          <w:color w:val="000000"/>
        </w:rPr>
        <w:t> </w:t>
      </w:r>
    </w:p>
    <w:p w14:paraId="7C956AC9" w14:textId="0A1CA09B" w:rsidR="00B97C21" w:rsidRPr="005A10D4" w:rsidRDefault="00B97C21" w:rsidP="00B123B4">
      <w:pPr>
        <w:pStyle w:val="Heading3"/>
        <w:rPr>
          <w:b w:val="0"/>
          <w:bCs w:val="0"/>
        </w:rPr>
      </w:pPr>
      <w:bookmarkStart w:id="117" w:name="_Toc102048589"/>
      <w:r w:rsidRPr="005A10D4">
        <w:rPr>
          <w:rStyle w:val="normaltextrun"/>
          <w:b w:val="0"/>
          <w:bCs w:val="0"/>
          <w:i/>
          <w:iCs/>
        </w:rPr>
        <w:t xml:space="preserve">Section </w:t>
      </w:r>
      <w:r w:rsidR="00EA6601" w:rsidRPr="005A10D4">
        <w:rPr>
          <w:rStyle w:val="normaltextrun"/>
          <w:b w:val="0"/>
          <w:bCs w:val="0"/>
          <w:i/>
          <w:iCs/>
        </w:rPr>
        <w:t>2</w:t>
      </w:r>
      <w:r w:rsidRPr="005A10D4">
        <w:rPr>
          <w:rStyle w:val="normaltextrun"/>
          <w:b w:val="0"/>
          <w:bCs w:val="0"/>
          <w:i/>
          <w:iCs/>
        </w:rPr>
        <w:t>.</w:t>
      </w:r>
      <w:r w:rsidR="00EA6601" w:rsidRPr="005A10D4">
        <w:rPr>
          <w:rStyle w:val="normaltextrun"/>
          <w:b w:val="0"/>
          <w:bCs w:val="0"/>
          <w:i/>
          <w:iCs/>
        </w:rPr>
        <w:t>2</w:t>
      </w:r>
      <w:r w:rsidRPr="005A10D4">
        <w:rPr>
          <w:rStyle w:val="normaltextrun"/>
          <w:b w:val="0"/>
          <w:bCs w:val="0"/>
          <w:i/>
          <w:iCs/>
        </w:rPr>
        <w:t>.1: Patient Impact</w:t>
      </w:r>
      <w:bookmarkEnd w:id="117"/>
      <w:r w:rsidRPr="005A10D4">
        <w:rPr>
          <w:rStyle w:val="eop"/>
          <w:rFonts w:eastAsiaTheme="majorEastAsia"/>
          <w:b w:val="0"/>
          <w:bCs w:val="0"/>
          <w:i/>
          <w:iCs/>
        </w:rPr>
        <w:t> </w:t>
      </w:r>
    </w:p>
    <w:p w14:paraId="0B2EAC64" w14:textId="24ED4BE1" w:rsidR="00B97C21" w:rsidRDefault="00B97C21" w:rsidP="00F556A9">
      <w:pPr>
        <w:pStyle w:val="paragraph"/>
        <w:spacing w:before="0" w:beforeAutospacing="0" w:after="0" w:afterAutospacing="0" w:line="276" w:lineRule="auto"/>
        <w:ind w:firstLine="180"/>
        <w:textAlignment w:val="baseline"/>
        <w:rPr>
          <w:rStyle w:val="eop"/>
          <w:rFonts w:eastAsiaTheme="majorEastAsia"/>
          <w:color w:val="000000"/>
        </w:rPr>
      </w:pPr>
      <w:r>
        <w:rPr>
          <w:rStyle w:val="normaltextrun"/>
          <w:color w:val="000000"/>
        </w:rPr>
        <w:t xml:space="preserve">It has previously been shown that an established culture of safety leads to a reduction of adverse events as it pertains to patient safety (Han Y et al., 2020). This has been measured in a </w:t>
      </w:r>
      <w:r>
        <w:rPr>
          <w:rStyle w:val="normaltextrun"/>
          <w:color w:val="000000"/>
        </w:rPr>
        <w:lastRenderedPageBreak/>
        <w:t xml:space="preserve">variety of dimensions including reduced infection rates, fewer readmissions, better surgical outcomes, reduced adverse events, and decreased mortality (ECRI, 2019, 10). In a 2020 study, researchers Han </w:t>
      </w:r>
      <w:proofErr w:type="spellStart"/>
      <w:r>
        <w:rPr>
          <w:rStyle w:val="normaltextrun"/>
          <w:color w:val="000000"/>
        </w:rPr>
        <w:t>Yonghee</w:t>
      </w:r>
      <w:proofErr w:type="spellEnd"/>
      <w:r>
        <w:rPr>
          <w:rStyle w:val="normaltextrun"/>
          <w:color w:val="000000"/>
        </w:rPr>
        <w:t>, Kim Ji-</w:t>
      </w:r>
      <w:proofErr w:type="spellStart"/>
      <w:r>
        <w:rPr>
          <w:rStyle w:val="normaltextrun"/>
          <w:color w:val="000000"/>
        </w:rPr>
        <w:t>Su</w:t>
      </w:r>
      <w:proofErr w:type="spellEnd"/>
      <w:r>
        <w:rPr>
          <w:rStyle w:val="normaltextrun"/>
          <w:color w:val="000000"/>
        </w:rPr>
        <w:t xml:space="preserve">, and </w:t>
      </w:r>
      <w:proofErr w:type="spellStart"/>
      <w:r>
        <w:rPr>
          <w:rStyle w:val="normaltextrun"/>
          <w:color w:val="000000"/>
        </w:rPr>
        <w:t>Seo</w:t>
      </w:r>
      <w:proofErr w:type="spellEnd"/>
      <w:r>
        <w:rPr>
          <w:rStyle w:val="normaltextrun"/>
          <w:color w:val="000000"/>
        </w:rPr>
        <w:t xml:space="preserve"> </w:t>
      </w:r>
      <w:proofErr w:type="spellStart"/>
      <w:r>
        <w:rPr>
          <w:rStyle w:val="normaltextrun"/>
          <w:color w:val="000000"/>
        </w:rPr>
        <w:t>YeJi</w:t>
      </w:r>
      <w:proofErr w:type="spellEnd"/>
      <w:r>
        <w:rPr>
          <w:rStyle w:val="normaltextrun"/>
          <w:color w:val="000000"/>
        </w:rPr>
        <w:t xml:space="preserve"> found and published in the Western Journal of Nursing Research that higher mean scores for “communication openness” in patient safety culture were significantly correlated with lower rates for pressure ulcers and falls. Additionally, higher mean scores for “working in teams with other health professionals” in patient safety competency were significantly correlated with reductions in ventilator-associated pneumonia (Han et al., 2020).</w:t>
      </w:r>
      <w:r>
        <w:rPr>
          <w:rStyle w:val="eop"/>
          <w:rFonts w:eastAsiaTheme="majorEastAsia"/>
          <w:color w:val="000000"/>
        </w:rPr>
        <w:t> </w:t>
      </w:r>
    </w:p>
    <w:p w14:paraId="3E84B454" w14:textId="77777777" w:rsidR="008C5F20" w:rsidRDefault="008C5F20" w:rsidP="00F556A9">
      <w:pPr>
        <w:pStyle w:val="paragraph"/>
        <w:spacing w:before="0" w:beforeAutospacing="0" w:after="0" w:afterAutospacing="0" w:line="276" w:lineRule="auto"/>
        <w:ind w:firstLine="180"/>
        <w:textAlignment w:val="baseline"/>
        <w:rPr>
          <w:rFonts w:ascii="Segoe UI" w:hAnsi="Segoe UI" w:cs="Segoe UI"/>
          <w:sz w:val="18"/>
          <w:szCs w:val="18"/>
        </w:rPr>
      </w:pPr>
    </w:p>
    <w:p w14:paraId="1898261D" w14:textId="460B3EAE" w:rsidR="00B97C21" w:rsidRDefault="00B97C21" w:rsidP="008C5F20">
      <w:pPr>
        <w:pStyle w:val="paragraph"/>
        <w:spacing w:before="0" w:beforeAutospacing="0" w:after="0" w:afterAutospacing="0" w:line="276" w:lineRule="auto"/>
        <w:ind w:firstLine="270"/>
        <w:textAlignment w:val="baseline"/>
        <w:rPr>
          <w:rStyle w:val="eop"/>
          <w:rFonts w:eastAsiaTheme="majorEastAsia"/>
        </w:rPr>
      </w:pPr>
      <w:r>
        <w:rPr>
          <w:rStyle w:val="normaltextrun"/>
          <w:color w:val="000000"/>
        </w:rPr>
        <w:t>While we assume there may be multiple factors involved, we have come to assume that fewer poor patient outcomes demonstrate a greater culture of safety. The quality health care would not be able to be delivered if there is a poor culture of safety, because the employees themselves would not be safe. Several strategies (Weaver et al, 2013) have been used to try to create an improved culture of safety, such as bundling multiple interventions or tools that employees can use as a resource to improve the safety culture. Accreditation bodies identify leadership standards for safety culture measurement and improvement (</w:t>
      </w:r>
      <w:proofErr w:type="spellStart"/>
      <w:r>
        <w:rPr>
          <w:rStyle w:val="normaltextrun"/>
          <w:color w:val="000000"/>
        </w:rPr>
        <w:t>Guldenmund</w:t>
      </w:r>
      <w:proofErr w:type="spellEnd"/>
      <w:r>
        <w:rPr>
          <w:rStyle w:val="normaltextrun"/>
          <w:color w:val="000000"/>
        </w:rPr>
        <w:t xml:space="preserve">, </w:t>
      </w:r>
      <w:r>
        <w:rPr>
          <w:rStyle w:val="normaltextrun"/>
        </w:rPr>
        <w:t>2000). </w:t>
      </w:r>
      <w:r>
        <w:rPr>
          <w:rStyle w:val="eop"/>
          <w:rFonts w:eastAsiaTheme="majorEastAsia"/>
        </w:rPr>
        <w:t> </w:t>
      </w:r>
    </w:p>
    <w:p w14:paraId="4153FEC7" w14:textId="0CF1BF9C" w:rsidR="007546C2" w:rsidRPr="006B6C94" w:rsidRDefault="00717D0C" w:rsidP="006B6C94">
      <w:pPr>
        <w:pStyle w:val="Heading2"/>
      </w:pPr>
      <w:bookmarkStart w:id="118" w:name="_Toc102048590"/>
      <w:r w:rsidRPr="006B6C94">
        <w:rPr>
          <w:rStyle w:val="normaltextrun"/>
        </w:rPr>
        <w:t xml:space="preserve">Section </w:t>
      </w:r>
      <w:r w:rsidR="00EA6601" w:rsidRPr="006B6C94">
        <w:rPr>
          <w:rStyle w:val="normaltextrun"/>
        </w:rPr>
        <w:t>2.3</w:t>
      </w:r>
      <w:r w:rsidRPr="006B6C94">
        <w:rPr>
          <w:rStyle w:val="normaltextrun"/>
        </w:rPr>
        <w:t xml:space="preserve">: </w:t>
      </w:r>
      <w:r w:rsidR="007546C2" w:rsidRPr="006B6C94">
        <w:rPr>
          <w:rStyle w:val="normaltextrun"/>
        </w:rPr>
        <w:t>Culture of Safety Process Improvement</w:t>
      </w:r>
      <w:bookmarkEnd w:id="118"/>
      <w:r w:rsidR="007546C2" w:rsidRPr="006B6C94">
        <w:rPr>
          <w:rStyle w:val="eop"/>
          <w:rFonts w:eastAsiaTheme="majorEastAsia"/>
        </w:rPr>
        <w:t> </w:t>
      </w:r>
    </w:p>
    <w:p w14:paraId="45B25F97" w14:textId="512DB659" w:rsidR="00717D0C" w:rsidRPr="005A10D4" w:rsidRDefault="007546C2" w:rsidP="008C5F20">
      <w:pPr>
        <w:pStyle w:val="paragraph"/>
        <w:spacing w:before="0" w:beforeAutospacing="0" w:after="0" w:afterAutospacing="0" w:line="276" w:lineRule="auto"/>
        <w:ind w:firstLine="180"/>
        <w:textAlignment w:val="baseline"/>
        <w:rPr>
          <w:rStyle w:val="normaltextrun"/>
          <w:rFonts w:ascii="Segoe UI" w:hAnsi="Segoe UI" w:cs="Segoe UI"/>
          <w:sz w:val="18"/>
          <w:szCs w:val="18"/>
        </w:rPr>
      </w:pPr>
      <w:r>
        <w:rPr>
          <w:rStyle w:val="normaltextrun"/>
          <w:color w:val="000000"/>
        </w:rPr>
        <w:t>Cultures of safety are directly impacted by strong leadership committed to ensuring safety practices within the organization. This can look a variety of ways: leaders should encourage employees to “learn about errors and near misses, investigate errors and near misses, investigate errors to understand their causes, develop strategies to prevent error recurrence, and share the lessons learned with staff so they recognize the value of reporting their concerns''(ECRI, 2019, 10). One specific aspect of these action recommendations is “reporting their concerns.” Creating an environment where employees can report allows mistakes to be caught earlier and thus improved at the facility level. </w:t>
      </w:r>
      <w:r>
        <w:rPr>
          <w:rStyle w:val="eop"/>
          <w:rFonts w:eastAsiaTheme="majorEastAsia"/>
          <w:color w:val="000000"/>
        </w:rPr>
        <w:t> </w:t>
      </w:r>
    </w:p>
    <w:p w14:paraId="1BFDB1C5" w14:textId="7514D433" w:rsidR="007546C2" w:rsidRPr="005A10D4" w:rsidRDefault="00717D0C" w:rsidP="00B123B4">
      <w:pPr>
        <w:pStyle w:val="Heading3"/>
        <w:rPr>
          <w:rFonts w:ascii="Segoe UI" w:hAnsi="Segoe UI" w:cs="Segoe UI"/>
          <w:b w:val="0"/>
          <w:bCs w:val="0"/>
          <w:sz w:val="18"/>
          <w:szCs w:val="18"/>
        </w:rPr>
      </w:pPr>
      <w:bookmarkStart w:id="119" w:name="_Toc102048591"/>
      <w:r w:rsidRPr="005A10D4">
        <w:rPr>
          <w:rStyle w:val="normaltextrun"/>
          <w:rFonts w:ascii="Calibri Light" w:hAnsi="Calibri Light" w:cs="Calibri Light"/>
          <w:b w:val="0"/>
          <w:bCs w:val="0"/>
          <w:i/>
          <w:iCs/>
        </w:rPr>
        <w:t>Section 4.</w:t>
      </w:r>
      <w:r w:rsidR="00EA6601" w:rsidRPr="005A10D4">
        <w:rPr>
          <w:rStyle w:val="normaltextrun"/>
          <w:rFonts w:ascii="Calibri Light" w:hAnsi="Calibri Light" w:cs="Calibri Light"/>
          <w:b w:val="0"/>
          <w:bCs w:val="0"/>
          <w:i/>
          <w:iCs/>
        </w:rPr>
        <w:t>3</w:t>
      </w:r>
      <w:r w:rsidRPr="005A10D4">
        <w:rPr>
          <w:rStyle w:val="normaltextrun"/>
          <w:rFonts w:ascii="Calibri Light" w:hAnsi="Calibri Light" w:cs="Calibri Light"/>
          <w:b w:val="0"/>
          <w:bCs w:val="0"/>
          <w:i/>
          <w:iCs/>
        </w:rPr>
        <w:t xml:space="preserve">.1: </w:t>
      </w:r>
      <w:r w:rsidR="007546C2" w:rsidRPr="005A10D4">
        <w:rPr>
          <w:rStyle w:val="normaltextrun"/>
          <w:rFonts w:ascii="Calibri Light" w:hAnsi="Calibri Light" w:cs="Calibri Light"/>
          <w:b w:val="0"/>
          <w:bCs w:val="0"/>
          <w:i/>
          <w:iCs/>
        </w:rPr>
        <w:t>Barriers to Process Improvement</w:t>
      </w:r>
      <w:bookmarkEnd w:id="119"/>
      <w:r w:rsidR="007546C2" w:rsidRPr="005A10D4">
        <w:rPr>
          <w:rStyle w:val="normaltextrun"/>
          <w:rFonts w:ascii="Calibri Light" w:hAnsi="Calibri Light" w:cs="Calibri Light"/>
          <w:b w:val="0"/>
          <w:bCs w:val="0"/>
          <w:i/>
          <w:iCs/>
        </w:rPr>
        <w:t>  </w:t>
      </w:r>
      <w:r w:rsidR="007546C2" w:rsidRPr="005A10D4">
        <w:rPr>
          <w:rStyle w:val="eop"/>
          <w:rFonts w:ascii="Calibri Light" w:eastAsiaTheme="majorEastAsia" w:hAnsi="Calibri Light" w:cs="Calibri Light"/>
          <w:b w:val="0"/>
          <w:bCs w:val="0"/>
          <w:i/>
          <w:iCs/>
        </w:rPr>
        <w:t> </w:t>
      </w:r>
    </w:p>
    <w:p w14:paraId="6E99A0B7" w14:textId="38F97247" w:rsidR="007546C2" w:rsidRDefault="007546C2" w:rsidP="008C5F20">
      <w:pPr>
        <w:pStyle w:val="paragraph"/>
        <w:spacing w:before="0" w:beforeAutospacing="0" w:after="0" w:afterAutospacing="0" w:line="276" w:lineRule="auto"/>
        <w:ind w:firstLine="180"/>
        <w:textAlignment w:val="baseline"/>
        <w:rPr>
          <w:rStyle w:val="eop"/>
          <w:rFonts w:eastAsiaTheme="majorEastAsia"/>
        </w:rPr>
      </w:pPr>
      <w:r>
        <w:rPr>
          <w:rStyle w:val="normaltextrun"/>
          <w:color w:val="000000"/>
        </w:rPr>
        <w:t xml:space="preserve">To improve incident reporting, especially among doctors, clarification is needed of which incidents should be reported to increase simplification and feedback given to reports. An example of this can be seen in a qualitative study of OHS risks and preventative measures which was conducted with a sample of Australian small business to better understand the occupational health and safety of the construction industry. Thou They selected both immediate consequences (such as fall risks) and long-term consequences/health effects (such as skin disease) as analytical factors. Through this, they found that most employees see occupational injury as an unavoidable aspect of their careers (Lingard 2022). In work settings, workers often feel barriers extend to the individual, whereas a lot of the failures are the result of poor management and access to resources. Additionally, the dualism of physical barriers occupational hazards, but also social barriers, such as group mindset and ostracization. Such barriers can be products of strategic </w:t>
      </w:r>
      <w:r>
        <w:rPr>
          <w:rStyle w:val="normaltextrun"/>
          <w:color w:val="000000"/>
        </w:rPr>
        <w:lastRenderedPageBreak/>
        <w:t>organizational rhetoric and cultural discourse such as coalition formation (Lingard, 2022) (Zoller, 2009) (da Silva, 2019). </w:t>
      </w:r>
      <w:r>
        <w:rPr>
          <w:rStyle w:val="normaltextrun"/>
        </w:rPr>
        <w:t> </w:t>
      </w:r>
      <w:r>
        <w:rPr>
          <w:rStyle w:val="eop"/>
          <w:rFonts w:eastAsiaTheme="majorEastAsia"/>
        </w:rPr>
        <w:t> </w:t>
      </w:r>
    </w:p>
    <w:p w14:paraId="570CA9AE" w14:textId="77777777" w:rsidR="00A74285" w:rsidRPr="00B123B4" w:rsidRDefault="00A74285" w:rsidP="00B123B4">
      <w:pPr>
        <w:pStyle w:val="Heading1"/>
        <w:rPr>
          <w:sz w:val="40"/>
          <w:szCs w:val="40"/>
        </w:rPr>
      </w:pPr>
      <w:bookmarkStart w:id="120" w:name="_Toc102048592"/>
      <w:r w:rsidRPr="00B123B4">
        <w:rPr>
          <w:rStyle w:val="normaltextrun"/>
          <w:sz w:val="40"/>
          <w:szCs w:val="40"/>
        </w:rPr>
        <w:t>Chapter 3: Research Design</w:t>
      </w:r>
      <w:bookmarkEnd w:id="120"/>
      <w:r w:rsidRPr="00B123B4">
        <w:rPr>
          <w:rStyle w:val="normaltextrun"/>
          <w:sz w:val="40"/>
          <w:szCs w:val="40"/>
        </w:rPr>
        <w:t xml:space="preserve"> </w:t>
      </w:r>
      <w:r w:rsidRPr="00B123B4">
        <w:rPr>
          <w:rStyle w:val="eop"/>
          <w:sz w:val="40"/>
          <w:szCs w:val="40"/>
        </w:rPr>
        <w:t> </w:t>
      </w:r>
    </w:p>
    <w:p w14:paraId="1BD65474" w14:textId="2B9DB8FF" w:rsidR="00A74285" w:rsidRDefault="00A74285" w:rsidP="008C5F20">
      <w:pPr>
        <w:pStyle w:val="paragraph"/>
        <w:spacing w:before="0" w:beforeAutospacing="0" w:after="0" w:afterAutospacing="0" w:line="276" w:lineRule="auto"/>
        <w:ind w:firstLine="180"/>
        <w:textAlignment w:val="baseline"/>
        <w:rPr>
          <w:rStyle w:val="normaltextrun"/>
          <w:color w:val="000000"/>
        </w:rPr>
      </w:pPr>
      <w:r>
        <w:rPr>
          <w:rStyle w:val="normaltextrun"/>
          <w:color w:val="000000"/>
        </w:rPr>
        <w:t>Our research was aimed at determining if there was a positive correlation between a culture of safety in the workplace and patient outcomes. This hypothesis can be examined two-fold: occupational hazards and patient outcomes. Patient outcomes were determined using the Medicare website and an independently developed quantitative measurement called “safety grade.” This encompasses the ratings each hospital received in common patient procedures. The common patient procedures included the rate of complications of knee/hip replacement patients, serious complications, and death among patients with serious treatable complications after surgery. This data set ultimately served to measure the patient outcomes in selected hospitals in New York. The second part of the research was to examine the culture of safety through the lens of occupational hazards. The number of occupational hazards was calculated from the New York compensation claims to determine how many injuries occurred in these hospitals. Once this was done, the hospital and occupational hazard data sets were combined via zip codes to determine which hospitals had the most or least occupational hazard claims. At the end, we combined both research paths to assess overall relationships between a culture of safety and patient outcomes</w:t>
      </w:r>
      <w:r w:rsidR="007F4B12">
        <w:rPr>
          <w:rStyle w:val="normaltextrun"/>
          <w:color w:val="000000"/>
        </w:rPr>
        <w:t>.</w:t>
      </w:r>
    </w:p>
    <w:p w14:paraId="5CCED657" w14:textId="0601C14B" w:rsidR="007F4B12" w:rsidRDefault="007F4B12" w:rsidP="00A74285">
      <w:pPr>
        <w:pStyle w:val="paragraph"/>
        <w:spacing w:before="0" w:beforeAutospacing="0" w:after="0" w:afterAutospacing="0"/>
        <w:textAlignment w:val="baseline"/>
        <w:rPr>
          <w:rStyle w:val="normaltextrun"/>
          <w:color w:val="000000"/>
        </w:rPr>
      </w:pPr>
    </w:p>
    <w:p w14:paraId="1FE62E0A" w14:textId="461859F1" w:rsidR="007F4B12" w:rsidRPr="006B6C94" w:rsidRDefault="007F4B12" w:rsidP="006B6C94">
      <w:pPr>
        <w:pStyle w:val="Heading2"/>
      </w:pPr>
      <w:bookmarkStart w:id="121" w:name="_Toc102048593"/>
      <w:r w:rsidRPr="006B6C94">
        <w:t>Section 3.1: Analysis of Patient Outcomes</w:t>
      </w:r>
      <w:bookmarkEnd w:id="121"/>
      <w:r w:rsidRPr="006B6C94">
        <w:rPr>
          <w:rFonts w:eastAsiaTheme="majorEastAsia"/>
        </w:rPr>
        <w:t> </w:t>
      </w:r>
    </w:p>
    <w:p w14:paraId="5C80F086" w14:textId="5571CDAC" w:rsidR="007F4B12" w:rsidRPr="006B6C94" w:rsidRDefault="007F4B12" w:rsidP="00EA6601">
      <w:pPr>
        <w:pStyle w:val="Heading3"/>
        <w:rPr>
          <w:rFonts w:ascii="Segoe UI" w:hAnsi="Segoe UI" w:cs="Segoe UI"/>
          <w:b w:val="0"/>
          <w:bCs w:val="0"/>
          <w:i/>
          <w:iCs/>
          <w:sz w:val="18"/>
          <w:szCs w:val="18"/>
        </w:rPr>
      </w:pPr>
      <w:bookmarkStart w:id="122" w:name="_Toc102048594"/>
      <w:r w:rsidRPr="006B6C94">
        <w:rPr>
          <w:b w:val="0"/>
          <w:bCs w:val="0"/>
          <w:i/>
          <w:iCs/>
        </w:rPr>
        <w:t>Section 3.1.1: Rating Hospitals-Safety Grade and Data Robustness</w:t>
      </w:r>
      <w:bookmarkEnd w:id="122"/>
      <w:r w:rsidRPr="006B6C94">
        <w:rPr>
          <w:b w:val="0"/>
          <w:bCs w:val="0"/>
          <w:i/>
          <w:iCs/>
        </w:rPr>
        <w:t>  </w:t>
      </w:r>
    </w:p>
    <w:p w14:paraId="59983C0A" w14:textId="18887111" w:rsidR="007F4B12" w:rsidRPr="007F4B12" w:rsidRDefault="007F4B12" w:rsidP="008C5F20">
      <w:pPr>
        <w:spacing w:after="0" w:line="276" w:lineRule="auto"/>
        <w:ind w:firstLine="180"/>
        <w:textAlignment w:val="baseline"/>
        <w:rPr>
          <w:rFonts w:ascii="Segoe UI" w:eastAsia="Times New Roman" w:hAnsi="Segoe UI" w:cs="Segoe UI"/>
          <w:sz w:val="18"/>
          <w:szCs w:val="18"/>
        </w:rPr>
      </w:pPr>
      <w:r w:rsidRPr="007F4B12">
        <w:rPr>
          <w:rFonts w:ascii="Times New Roman" w:eastAsia="Times New Roman" w:hAnsi="Times New Roman" w:cs="Times New Roman"/>
          <w:color w:val="000000"/>
          <w:sz w:val="24"/>
          <w:szCs w:val="24"/>
        </w:rPr>
        <w:t xml:space="preserve">We used the Medicare website to collect data about the patient outcomes in New York hospitals (Medicare.gov, 2022). As seen in Figure 1, the Medicare website offers several resources with the goal of informing patients and health care providers about different health and drug plans.  We narrowed down the number of hospitals by only looking at emergency services (hospitals that provide emergency services like acute medical or trauma care) and hospital type (acute care) (ECRI, 2019, 10). Once we found this list of hospitals, we devised a rating criterion based on the national rating system the website provided (Table 1) This was done by clicking the hospitals, then clicking the “complications and deaths,” tab and rating them based on pre-decided ratings that are based on the national averages seen in Table 1. </w:t>
      </w:r>
      <w:r w:rsidRPr="007F4B12">
        <w:rPr>
          <w:rFonts w:ascii="Times New Roman" w:eastAsia="Times New Roman" w:hAnsi="Times New Roman" w:cs="Times New Roman"/>
          <w:sz w:val="24"/>
          <w:szCs w:val="24"/>
        </w:rPr>
        <w:t xml:space="preserve">The specific definitions of the items in the rating column can be found in Appendix </w:t>
      </w:r>
      <w:r w:rsidR="00DA0837">
        <w:rPr>
          <w:rFonts w:ascii="Times New Roman" w:eastAsia="Times New Roman" w:hAnsi="Times New Roman" w:cs="Times New Roman"/>
          <w:sz w:val="24"/>
          <w:szCs w:val="24"/>
        </w:rPr>
        <w:t>B</w:t>
      </w:r>
      <w:r w:rsidRPr="007F4B12">
        <w:rPr>
          <w:rFonts w:ascii="Times New Roman" w:eastAsia="Times New Roman" w:hAnsi="Times New Roman" w:cs="Times New Roman"/>
          <w:sz w:val="24"/>
          <w:szCs w:val="24"/>
        </w:rPr>
        <w:t>. </w:t>
      </w:r>
    </w:p>
    <w:p w14:paraId="13E43E25" w14:textId="77777777" w:rsidR="00DB6FF8" w:rsidRDefault="00DB6FF8" w:rsidP="00E74A79">
      <w:pPr>
        <w:spacing w:after="0" w:line="276" w:lineRule="auto"/>
        <w:textAlignment w:val="baseline"/>
        <w:rPr>
          <w:rFonts w:ascii="Times New Roman" w:eastAsia="Times New Roman" w:hAnsi="Times New Roman" w:cs="Times New Roman"/>
          <w:sz w:val="24"/>
          <w:szCs w:val="24"/>
        </w:rPr>
      </w:pPr>
    </w:p>
    <w:p w14:paraId="6C46F512" w14:textId="71278347" w:rsidR="00DB6FF8" w:rsidRDefault="007F4B12" w:rsidP="008C5F20">
      <w:pPr>
        <w:spacing w:after="0" w:line="276" w:lineRule="auto"/>
        <w:ind w:firstLine="270"/>
        <w:textAlignment w:val="baseline"/>
        <w:rPr>
          <w:rFonts w:ascii="Times New Roman" w:eastAsia="Times New Roman" w:hAnsi="Times New Roman" w:cs="Times New Roman"/>
          <w:sz w:val="24"/>
          <w:szCs w:val="24"/>
        </w:rPr>
      </w:pPr>
      <w:r w:rsidRPr="007F4B12">
        <w:rPr>
          <w:rFonts w:ascii="Times New Roman" w:eastAsia="Times New Roman" w:hAnsi="Times New Roman" w:cs="Times New Roman"/>
          <w:sz w:val="24"/>
          <w:szCs w:val="24"/>
        </w:rPr>
        <w:t>Once we developed the safety grade criterion, we developed our process of grading the NY hospitals. Figure 1 demonstrates the interface once the hospitals were filtered by both “Emergency Services,” and “Acute Care.”  </w:t>
      </w:r>
    </w:p>
    <w:p w14:paraId="49989A3C" w14:textId="34B3AED5" w:rsidR="007F4B12" w:rsidRPr="007F4B12" w:rsidRDefault="007F4B12" w:rsidP="007F4B12">
      <w:pPr>
        <w:spacing w:after="0" w:line="240" w:lineRule="auto"/>
        <w:textAlignment w:val="baseline"/>
        <w:rPr>
          <w:rFonts w:ascii="Segoe UI" w:eastAsia="Times New Roman" w:hAnsi="Segoe UI" w:cs="Segoe UI"/>
          <w:sz w:val="18"/>
          <w:szCs w:val="18"/>
        </w:rPr>
      </w:pPr>
      <w:r w:rsidRPr="007F4B12">
        <w:rPr>
          <w:rFonts w:ascii="Times New Roman" w:eastAsia="Times New Roman" w:hAnsi="Times New Roman" w:cs="Times New Roman"/>
          <w:sz w:val="24"/>
          <w:szCs w:val="24"/>
        </w:rPr>
        <w:lastRenderedPageBreak/>
        <w:br/>
      </w:r>
      <w:r w:rsidRPr="007F4B12">
        <w:rPr>
          <w:rFonts w:ascii="Segoe UI" w:eastAsia="Times New Roman" w:hAnsi="Segoe UI" w:cs="Segoe UI"/>
          <w:noProof/>
          <w:sz w:val="18"/>
          <w:szCs w:val="18"/>
        </w:rPr>
        <w:drawing>
          <wp:inline distT="0" distB="0" distL="0" distR="0" wp14:anchorId="25245AB0" wp14:editId="0D9E523D">
            <wp:extent cx="4221662" cy="2137893"/>
            <wp:effectExtent l="0" t="0" r="7620" b="0"/>
            <wp:docPr id="64" name="Picture 6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application, email&#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33898" cy="2144089"/>
                    </a:xfrm>
                    <a:prstGeom prst="rect">
                      <a:avLst/>
                    </a:prstGeom>
                    <a:noFill/>
                    <a:ln>
                      <a:noFill/>
                    </a:ln>
                  </pic:spPr>
                </pic:pic>
              </a:graphicData>
            </a:graphic>
          </wp:inline>
        </w:drawing>
      </w:r>
      <w:r w:rsidRPr="007F4B12">
        <w:rPr>
          <w:rFonts w:ascii="Calibri" w:eastAsia="Times New Roman" w:hAnsi="Calibri" w:cs="Calibri"/>
        </w:rPr>
        <w:t> </w:t>
      </w:r>
    </w:p>
    <w:p w14:paraId="7E61D82B" w14:textId="3F553B93" w:rsidR="007F4B12" w:rsidRDefault="007F4B12" w:rsidP="007F4B12">
      <w:pPr>
        <w:spacing w:after="0" w:line="240" w:lineRule="auto"/>
        <w:textAlignment w:val="baseline"/>
        <w:rPr>
          <w:rFonts w:ascii="Calibri Light" w:eastAsia="Times New Roman" w:hAnsi="Calibri Light" w:cs="Calibri Light"/>
          <w:i/>
          <w:iCs/>
          <w:color w:val="2F5496"/>
        </w:rPr>
      </w:pPr>
      <w:r w:rsidRPr="007F4B12">
        <w:rPr>
          <w:rFonts w:ascii="Calibri Light" w:eastAsia="Times New Roman" w:hAnsi="Calibri Light" w:cs="Calibri Light"/>
          <w:i/>
          <w:iCs/>
          <w:color w:val="2F5496"/>
        </w:rPr>
        <w:t>Figure 1: Excerpt from the Medicare website already filtered by hospitals that provide emergency services and acute care.  </w:t>
      </w:r>
    </w:p>
    <w:p w14:paraId="43DB55C9" w14:textId="77777777" w:rsidR="00DB6FF8" w:rsidRPr="007F4B12" w:rsidRDefault="00DB6FF8" w:rsidP="007F4B12">
      <w:pPr>
        <w:spacing w:after="0" w:line="240" w:lineRule="auto"/>
        <w:textAlignment w:val="baseline"/>
        <w:rPr>
          <w:rFonts w:ascii="Segoe UI" w:eastAsia="Times New Roman" w:hAnsi="Segoe UI" w:cs="Segoe UI"/>
          <w:i/>
          <w:iCs/>
          <w:color w:val="2F5496"/>
          <w:sz w:val="18"/>
          <w:szCs w:val="18"/>
        </w:rPr>
      </w:pPr>
    </w:p>
    <w:p w14:paraId="7E8DAA21" w14:textId="70FFA0EA" w:rsidR="007F4B12" w:rsidRPr="007F4B12" w:rsidRDefault="007F4B12" w:rsidP="008C5F20">
      <w:pPr>
        <w:spacing w:after="0" w:line="276" w:lineRule="auto"/>
        <w:ind w:firstLine="180"/>
        <w:textAlignment w:val="baseline"/>
        <w:rPr>
          <w:rFonts w:ascii="Segoe UI" w:eastAsia="Times New Roman" w:hAnsi="Segoe UI" w:cs="Segoe UI"/>
          <w:sz w:val="18"/>
          <w:szCs w:val="18"/>
        </w:rPr>
      </w:pPr>
      <w:r w:rsidRPr="007F4B12">
        <w:rPr>
          <w:rFonts w:ascii="Times New Roman" w:eastAsia="Times New Roman" w:hAnsi="Times New Roman" w:cs="Times New Roman"/>
          <w:sz w:val="24"/>
          <w:szCs w:val="24"/>
        </w:rPr>
        <w:t>After filtering the Medicare website, we found 135 hospitals to grade. The hospitals were rated as being above average, or below average. There were also fields: “no reported data,” or “not enough data available”; Examples of these fields are shown in Figure 2. When the field “number of cases too small,” appeared we first rated the hospital negatively. Upon further investigation, this grade was excluded from analysis because we did not want to bias and exclude smaller hospitals that may have less resources to record but could still have good patient outcomes. </w:t>
      </w:r>
    </w:p>
    <w:p w14:paraId="1BC4B77D" w14:textId="77777777" w:rsidR="007F4B12" w:rsidRPr="007F4B12" w:rsidRDefault="007F4B12" w:rsidP="007F4B12">
      <w:pPr>
        <w:spacing w:after="0" w:line="240" w:lineRule="auto"/>
        <w:textAlignment w:val="baseline"/>
        <w:rPr>
          <w:rFonts w:ascii="Segoe UI" w:eastAsia="Times New Roman" w:hAnsi="Segoe UI" w:cs="Segoe UI"/>
          <w:sz w:val="18"/>
          <w:szCs w:val="18"/>
        </w:rPr>
      </w:pPr>
      <w:r w:rsidRPr="007F4B12">
        <w:rPr>
          <w:rFonts w:ascii="Times New Roman" w:eastAsia="Times New Roman" w:hAnsi="Times New Roman" w:cs="Times New Roman"/>
          <w:sz w:val="24"/>
          <w:szCs w:val="24"/>
        </w:rPr>
        <w:t> </w:t>
      </w:r>
    </w:p>
    <w:p w14:paraId="64C007DB" w14:textId="77777777" w:rsidR="007F4B12" w:rsidRPr="007F4B12" w:rsidRDefault="007F4B12" w:rsidP="007F4B12">
      <w:pPr>
        <w:spacing w:after="0" w:line="240" w:lineRule="auto"/>
        <w:textAlignment w:val="baseline"/>
        <w:rPr>
          <w:rFonts w:ascii="Segoe UI" w:eastAsia="Times New Roman" w:hAnsi="Segoe UI" w:cs="Segoe UI"/>
          <w:sz w:val="18"/>
          <w:szCs w:val="18"/>
        </w:rPr>
      </w:pPr>
      <w:r w:rsidRPr="007F4B12">
        <w:rPr>
          <w:rFonts w:ascii="Times New Roman" w:eastAsia="Times New Roman" w:hAnsi="Times New Roman" w:cs="Times New Roman"/>
          <w:sz w:val="24"/>
          <w:szCs w:val="24"/>
        </w:rPr>
        <w:t> </w:t>
      </w:r>
    </w:p>
    <w:p w14:paraId="35FA4768" w14:textId="0EBE5C14" w:rsidR="007F4B12" w:rsidRPr="007F4B12" w:rsidRDefault="004053CD" w:rsidP="007F4B12">
      <w:pPr>
        <w:spacing w:after="0" w:line="240" w:lineRule="auto"/>
        <w:jc w:val="center"/>
        <w:textAlignment w:val="baseline"/>
        <w:rPr>
          <w:rFonts w:ascii="Segoe UI" w:eastAsia="Times New Roman" w:hAnsi="Segoe UI" w:cs="Segoe UI"/>
          <w:sz w:val="18"/>
          <w:szCs w:val="18"/>
        </w:rPr>
      </w:pPr>
      <w:r w:rsidRPr="004053CD">
        <w:rPr>
          <w:rFonts w:ascii="Times New Roman" w:eastAsia="Times New Roman" w:hAnsi="Times New Roman" w:cs="Times New Roman"/>
          <w:noProof/>
          <w:sz w:val="24"/>
          <w:szCs w:val="24"/>
        </w:rPr>
        <w:drawing>
          <wp:inline distT="0" distB="0" distL="0" distR="0" wp14:anchorId="37DF1946" wp14:editId="400D2C5E">
            <wp:extent cx="2293620" cy="3276600"/>
            <wp:effectExtent l="0" t="0" r="0" b="0"/>
            <wp:docPr id="66" name="Picture 6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graphical user interface&#10;&#10;Description automatically generated"/>
                    <pic:cNvPicPr/>
                  </pic:nvPicPr>
                  <pic:blipFill>
                    <a:blip r:embed="rId37"/>
                    <a:stretch>
                      <a:fillRect/>
                    </a:stretch>
                  </pic:blipFill>
                  <pic:spPr>
                    <a:xfrm>
                      <a:off x="0" y="0"/>
                      <a:ext cx="2296226" cy="3280323"/>
                    </a:xfrm>
                    <a:prstGeom prst="rect">
                      <a:avLst/>
                    </a:prstGeom>
                  </pic:spPr>
                </pic:pic>
              </a:graphicData>
            </a:graphic>
          </wp:inline>
        </w:drawing>
      </w:r>
      <w:r w:rsidR="007F4B12" w:rsidRPr="007F4B12">
        <w:rPr>
          <w:rFonts w:ascii="Times New Roman" w:eastAsia="Times New Roman" w:hAnsi="Times New Roman" w:cs="Times New Roman"/>
          <w:sz w:val="24"/>
          <w:szCs w:val="24"/>
        </w:rPr>
        <w:t> </w:t>
      </w:r>
    </w:p>
    <w:p w14:paraId="5D923B5E" w14:textId="77777777" w:rsidR="007F4B12" w:rsidRPr="007F4B12" w:rsidRDefault="007F4B12" w:rsidP="007F4B12">
      <w:pPr>
        <w:spacing w:after="0" w:line="240" w:lineRule="auto"/>
        <w:textAlignment w:val="baseline"/>
        <w:rPr>
          <w:rFonts w:ascii="Segoe UI" w:eastAsia="Times New Roman" w:hAnsi="Segoe UI" w:cs="Segoe UI"/>
          <w:sz w:val="18"/>
          <w:szCs w:val="18"/>
        </w:rPr>
      </w:pPr>
      <w:r w:rsidRPr="007F4B12">
        <w:rPr>
          <w:rFonts w:ascii="Times New Roman" w:eastAsia="Times New Roman" w:hAnsi="Times New Roman" w:cs="Times New Roman"/>
          <w:sz w:val="24"/>
          <w:szCs w:val="24"/>
        </w:rPr>
        <w:t> </w:t>
      </w:r>
    </w:p>
    <w:p w14:paraId="6BD99B44" w14:textId="02CBA282" w:rsidR="007F4B12" w:rsidRDefault="007F4B12" w:rsidP="004053CD">
      <w:pPr>
        <w:spacing w:after="0" w:line="240" w:lineRule="auto"/>
        <w:textAlignment w:val="baseline"/>
        <w:rPr>
          <w:rFonts w:ascii="Calibri Light" w:eastAsia="Times New Roman" w:hAnsi="Calibri Light" w:cs="Calibri Light"/>
          <w:i/>
          <w:iCs/>
          <w:color w:val="2F5496"/>
        </w:rPr>
      </w:pPr>
      <w:r w:rsidRPr="007F4B12">
        <w:rPr>
          <w:rFonts w:ascii="Calibri" w:eastAsia="Times New Roman" w:hAnsi="Calibri" w:cs="Calibri"/>
        </w:rPr>
        <w:t> </w:t>
      </w:r>
      <w:r w:rsidRPr="007F4B12">
        <w:rPr>
          <w:rFonts w:ascii="Calibri Light" w:eastAsia="Times New Roman" w:hAnsi="Calibri Light" w:cs="Calibri Light"/>
          <w:i/>
          <w:iCs/>
          <w:color w:val="2F5496"/>
        </w:rPr>
        <w:t>Figure 2: Website interface process to access the common patient rating </w:t>
      </w:r>
    </w:p>
    <w:p w14:paraId="59260FE5" w14:textId="77777777" w:rsidR="00F77DA5" w:rsidRPr="007F4B12" w:rsidRDefault="00F77DA5" w:rsidP="004053CD">
      <w:pPr>
        <w:spacing w:after="0" w:line="240" w:lineRule="auto"/>
        <w:textAlignment w:val="baseline"/>
        <w:rPr>
          <w:rFonts w:ascii="Segoe UI" w:eastAsia="Times New Roman" w:hAnsi="Segoe UI" w:cs="Segoe UI"/>
          <w:sz w:val="18"/>
          <w:szCs w:val="18"/>
        </w:rPr>
      </w:pPr>
    </w:p>
    <w:p w14:paraId="16267352" w14:textId="03D20EA7" w:rsidR="007F4B12" w:rsidRDefault="007F4B12" w:rsidP="008C5F20">
      <w:pPr>
        <w:spacing w:after="0" w:line="276" w:lineRule="auto"/>
        <w:ind w:firstLine="180"/>
        <w:textAlignment w:val="baseline"/>
        <w:rPr>
          <w:rFonts w:ascii="Times New Roman" w:eastAsia="Times New Roman" w:hAnsi="Times New Roman" w:cs="Times New Roman"/>
          <w:color w:val="000000"/>
          <w:sz w:val="24"/>
          <w:szCs w:val="24"/>
        </w:rPr>
      </w:pPr>
      <w:r w:rsidRPr="007F4B12">
        <w:rPr>
          <w:rFonts w:ascii="Times New Roman" w:eastAsia="Times New Roman" w:hAnsi="Times New Roman" w:cs="Times New Roman"/>
          <w:sz w:val="24"/>
          <w:szCs w:val="24"/>
        </w:rPr>
        <w:lastRenderedPageBreak/>
        <w:t>The next step was to create a comprehensive Microsoft Excel sheet with the hospitals, zip codes, and grades.</w:t>
      </w:r>
      <w:r w:rsidRPr="007F4B12">
        <w:rPr>
          <w:rFonts w:ascii="Times New Roman" w:eastAsia="Times New Roman" w:hAnsi="Times New Roman" w:cs="Times New Roman"/>
          <w:color w:val="000000"/>
          <w:sz w:val="24"/>
          <w:szCs w:val="24"/>
        </w:rPr>
        <w:t xml:space="preserve"> The Microsoft Excel sheets were color-coded to stay organized and have a firm understanding of which hospitals were graded higher versus lower to identify outliers or any missing fields. To analyze the quality of the hospitals recorded data, we developed a metric termed data robustness. This was a qualitative measurement of the hospital’s capacity to report their data. It was identified by the number of Medicare categories for which the hospital reports complete data. As mentioned, this field became “data robustness” and was scored 0-6. Hospitals with fully reported data (positive or negative) were scored 4-6 while hospitals with missing and incomplete data were scored lower 0-2. This enabled us to compare quality scores against the robustness of each hospital’s reporting system. Although studies have been done to examine patient safety practices, none have attempted to quantitively assess patient outcomes and occupational hazards to inform culture of safety. As a result, we independently developed the data sets based off what was directly available for the public online. </w:t>
      </w:r>
    </w:p>
    <w:p w14:paraId="2C88C2A8" w14:textId="77777777" w:rsidR="00E74A79" w:rsidRPr="007F4B12" w:rsidRDefault="00E74A79" w:rsidP="00E74A79">
      <w:pPr>
        <w:spacing w:after="0" w:line="276" w:lineRule="auto"/>
        <w:textAlignment w:val="baseline"/>
        <w:rPr>
          <w:rFonts w:ascii="Segoe UI" w:eastAsia="Times New Roman" w:hAnsi="Segoe UI" w:cs="Segoe UI"/>
          <w:sz w:val="18"/>
          <w:szCs w:val="18"/>
        </w:rPr>
      </w:pPr>
    </w:p>
    <w:p w14:paraId="5C22CEC1" w14:textId="076B12CF" w:rsidR="007F4B12" w:rsidRPr="007F4B12" w:rsidRDefault="007F4B12" w:rsidP="007F4B12">
      <w:pPr>
        <w:spacing w:after="0" w:line="240" w:lineRule="auto"/>
        <w:textAlignment w:val="baseline"/>
        <w:rPr>
          <w:rFonts w:ascii="Segoe UI" w:eastAsia="Times New Roman" w:hAnsi="Segoe UI" w:cs="Segoe UI"/>
          <w:sz w:val="18"/>
          <w:szCs w:val="18"/>
        </w:rPr>
      </w:pPr>
      <w:r w:rsidRPr="007F4B12">
        <w:rPr>
          <w:rFonts w:ascii="Segoe UI" w:eastAsia="Times New Roman" w:hAnsi="Segoe UI" w:cs="Segoe UI"/>
          <w:noProof/>
          <w:sz w:val="18"/>
          <w:szCs w:val="18"/>
        </w:rPr>
        <w:drawing>
          <wp:inline distT="0" distB="0" distL="0" distR="0" wp14:anchorId="6527CC7E" wp14:editId="7CA95692">
            <wp:extent cx="5943600" cy="1649730"/>
            <wp:effectExtent l="0" t="0" r="0" b="7620"/>
            <wp:docPr id="58" name="Picture 58"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able, Excel&#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649730"/>
                    </a:xfrm>
                    <a:prstGeom prst="rect">
                      <a:avLst/>
                    </a:prstGeom>
                    <a:noFill/>
                    <a:ln>
                      <a:noFill/>
                    </a:ln>
                  </pic:spPr>
                </pic:pic>
              </a:graphicData>
            </a:graphic>
          </wp:inline>
        </w:drawing>
      </w:r>
      <w:r w:rsidRPr="007F4B12">
        <w:rPr>
          <w:rFonts w:ascii="Calibri" w:eastAsia="Times New Roman" w:hAnsi="Calibri" w:cs="Calibri"/>
        </w:rPr>
        <w:t> </w:t>
      </w:r>
    </w:p>
    <w:p w14:paraId="3E62A445" w14:textId="77777777" w:rsidR="007F4B12" w:rsidRPr="007F4B12" w:rsidRDefault="007F4B12" w:rsidP="007F4B12">
      <w:pPr>
        <w:spacing w:after="0" w:line="240" w:lineRule="auto"/>
        <w:textAlignment w:val="baseline"/>
        <w:rPr>
          <w:rFonts w:ascii="Segoe UI" w:eastAsia="Times New Roman" w:hAnsi="Segoe UI" w:cs="Segoe UI"/>
          <w:i/>
          <w:iCs/>
          <w:color w:val="2F5496"/>
          <w:sz w:val="18"/>
          <w:szCs w:val="18"/>
        </w:rPr>
      </w:pPr>
      <w:r w:rsidRPr="007F4B12">
        <w:rPr>
          <w:rFonts w:ascii="Calibri Light" w:eastAsia="Times New Roman" w:hAnsi="Calibri Light" w:cs="Calibri Light"/>
          <w:i/>
          <w:iCs/>
          <w:color w:val="2F5496"/>
        </w:rPr>
        <w:t>Figure 3: An excerpt from Microsoft Excel recording the New York hospitals, their respective zip codes, and grades from the common procedures.  </w:t>
      </w:r>
    </w:p>
    <w:p w14:paraId="6944C2F5" w14:textId="77777777" w:rsidR="007F4B12" w:rsidRPr="007F4B12" w:rsidRDefault="007F4B12" w:rsidP="007F4B12">
      <w:pPr>
        <w:spacing w:after="0" w:line="240" w:lineRule="auto"/>
        <w:textAlignment w:val="baseline"/>
        <w:rPr>
          <w:rFonts w:ascii="Segoe UI" w:eastAsia="Times New Roman" w:hAnsi="Segoe UI" w:cs="Segoe UI"/>
          <w:sz w:val="18"/>
          <w:szCs w:val="18"/>
        </w:rPr>
      </w:pPr>
      <w:r w:rsidRPr="007F4B12">
        <w:rPr>
          <w:rFonts w:ascii="Times New Roman" w:eastAsia="Times New Roman" w:hAnsi="Times New Roman" w:cs="Times New Roman"/>
          <w:sz w:val="24"/>
          <w:szCs w:val="24"/>
        </w:rPr>
        <w:t> </w:t>
      </w:r>
    </w:p>
    <w:p w14:paraId="0DF80D52" w14:textId="2CD96E46" w:rsidR="007F4B12" w:rsidRPr="006B6C94" w:rsidRDefault="00F77DA5" w:rsidP="006B6C94">
      <w:pPr>
        <w:pStyle w:val="Heading2"/>
      </w:pPr>
      <w:bookmarkStart w:id="123" w:name="_Toc102048595"/>
      <w:r w:rsidRPr="006B6C94">
        <w:t xml:space="preserve">Section </w:t>
      </w:r>
      <w:r w:rsidR="00E03F22" w:rsidRPr="006B6C94">
        <w:t xml:space="preserve">3.2: </w:t>
      </w:r>
      <w:r w:rsidR="007F4B12" w:rsidRPr="006B6C94">
        <w:t>Determining Culture of Safety Through Occupational Hazards</w:t>
      </w:r>
      <w:bookmarkEnd w:id="123"/>
      <w:r w:rsidR="007F4B12" w:rsidRPr="006B6C94">
        <w:rPr>
          <w:rFonts w:eastAsiaTheme="majorEastAsia"/>
        </w:rPr>
        <w:t> </w:t>
      </w:r>
    </w:p>
    <w:p w14:paraId="0023ADE1" w14:textId="652310AD" w:rsidR="007F4B12" w:rsidRDefault="007F4B12" w:rsidP="008C5F20">
      <w:pPr>
        <w:spacing w:after="0" w:line="276" w:lineRule="auto"/>
        <w:ind w:firstLine="180"/>
        <w:textAlignment w:val="baseline"/>
        <w:rPr>
          <w:rFonts w:ascii="Times New Roman" w:eastAsia="Times New Roman" w:hAnsi="Times New Roman" w:cs="Times New Roman"/>
          <w:sz w:val="24"/>
          <w:szCs w:val="24"/>
        </w:rPr>
      </w:pPr>
      <w:r w:rsidRPr="007F4B12">
        <w:rPr>
          <w:rFonts w:ascii="Times New Roman" w:eastAsia="Times New Roman" w:hAnsi="Times New Roman" w:cs="Times New Roman"/>
          <w:color w:val="000000"/>
          <w:sz w:val="24"/>
          <w:szCs w:val="24"/>
        </w:rPr>
        <w:t xml:space="preserve">We used the NYS Assembled Workers Compensation claims data set to determine the number of occupational hazards in NY hospitals (York, 2021). The NYS assembled workers' compensation claims developed by the Workers’ Compensation board (WCB) provides data on worker’s compensation, disability, volunteer firefighters’, volunteer ambulance workers’, and volunteer civil defense worker’s benefits. The WCB uses this data to ensure employer compliance and regulates different stakeholders involved including self-insured employers, medical providers, and third-party administrators. The WCB determines claims of workplace injury by injuries that cause a worker to lose more than one week of work, or permanent disability. WCB also includes injuries disputed by the employer, or when they receive a C-3 Form (claim from the injured worker). Although this data set included many fields not related to healthcare providers, we filtered it to only investigate claims recorded under the healthcare field. </w:t>
      </w:r>
      <w:r w:rsidRPr="007F4B12">
        <w:rPr>
          <w:rFonts w:ascii="Times New Roman" w:eastAsia="Times New Roman" w:hAnsi="Times New Roman" w:cs="Times New Roman"/>
          <w:color w:val="000000"/>
          <w:sz w:val="24"/>
          <w:szCs w:val="24"/>
        </w:rPr>
        <w:lastRenderedPageBreak/>
        <w:t>The process of connecting hospitals to occupational injury count can be seen in Figure 4</w:t>
      </w:r>
      <w:r w:rsidR="008C5F20">
        <w:rPr>
          <w:rFonts w:ascii="Times New Roman" w:eastAsia="Times New Roman" w:hAnsi="Times New Roman" w:cs="Times New Roman"/>
          <w:color w:val="000000"/>
          <w:sz w:val="24"/>
          <w:szCs w:val="24"/>
        </w:rPr>
        <w:t xml:space="preserve">. </w:t>
      </w:r>
      <w:r w:rsidRPr="007F4B12">
        <w:rPr>
          <w:rFonts w:ascii="Times New Roman" w:eastAsia="Times New Roman" w:hAnsi="Times New Roman" w:cs="Times New Roman"/>
          <w:sz w:val="24"/>
          <w:szCs w:val="24"/>
        </w:rPr>
        <w:t>By the end of this process, there were 25 hospitals studied. </w:t>
      </w:r>
    </w:p>
    <w:p w14:paraId="4A03D69B" w14:textId="77777777" w:rsidR="00E74A79" w:rsidRDefault="00E74A79" w:rsidP="00E03F22">
      <w:pPr>
        <w:spacing w:after="0" w:line="240" w:lineRule="auto"/>
        <w:textAlignment w:val="baseline"/>
        <w:rPr>
          <w:rFonts w:ascii="Times New Roman" w:eastAsia="Times New Roman" w:hAnsi="Times New Roman" w:cs="Times New Roman"/>
          <w:sz w:val="24"/>
          <w:szCs w:val="24"/>
        </w:rPr>
      </w:pPr>
    </w:p>
    <w:p w14:paraId="1E5D3B4D" w14:textId="77777777" w:rsidR="00E03F22" w:rsidRPr="007F4B12" w:rsidRDefault="00E03F22" w:rsidP="007F4B12">
      <w:pPr>
        <w:spacing w:after="0" w:line="240" w:lineRule="auto"/>
        <w:textAlignment w:val="baseline"/>
        <w:rPr>
          <w:rFonts w:ascii="Segoe UI" w:eastAsia="Times New Roman" w:hAnsi="Segoe UI" w:cs="Segoe UI"/>
          <w:sz w:val="18"/>
          <w:szCs w:val="18"/>
        </w:rPr>
      </w:pPr>
    </w:p>
    <w:p w14:paraId="73D22EDB" w14:textId="18EE0164" w:rsidR="007F4B12" w:rsidRPr="007F4B12" w:rsidRDefault="007F4B12" w:rsidP="007F4B12">
      <w:pPr>
        <w:spacing w:after="0" w:line="240" w:lineRule="auto"/>
        <w:textAlignment w:val="baseline"/>
        <w:rPr>
          <w:rFonts w:ascii="Segoe UI" w:eastAsia="Times New Roman" w:hAnsi="Segoe UI" w:cs="Segoe UI"/>
          <w:sz w:val="18"/>
          <w:szCs w:val="18"/>
        </w:rPr>
      </w:pPr>
      <w:r w:rsidRPr="007F4B12">
        <w:rPr>
          <w:rFonts w:ascii="Segoe UI" w:eastAsia="Times New Roman" w:hAnsi="Segoe UI" w:cs="Segoe UI"/>
          <w:noProof/>
          <w:sz w:val="18"/>
          <w:szCs w:val="18"/>
        </w:rPr>
        <w:drawing>
          <wp:inline distT="0" distB="0" distL="0" distR="0" wp14:anchorId="42DCFCB4" wp14:editId="36132E8F">
            <wp:extent cx="5943600" cy="1189990"/>
            <wp:effectExtent l="0" t="0" r="0" b="0"/>
            <wp:docPr id="57" name="Picture 5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bl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189990"/>
                    </a:xfrm>
                    <a:prstGeom prst="rect">
                      <a:avLst/>
                    </a:prstGeom>
                    <a:noFill/>
                    <a:ln>
                      <a:noFill/>
                    </a:ln>
                  </pic:spPr>
                </pic:pic>
              </a:graphicData>
            </a:graphic>
          </wp:inline>
        </w:drawing>
      </w:r>
      <w:r w:rsidRPr="007F4B12">
        <w:rPr>
          <w:rFonts w:ascii="Calibri Light" w:eastAsia="Times New Roman" w:hAnsi="Calibri Light" w:cs="Calibri Light"/>
          <w:i/>
          <w:iCs/>
          <w:color w:val="2F5496"/>
        </w:rPr>
        <w:t>Figure 4: Excerpt from the process of counting the occupational zip code count in a 10-mile radius of Adirondack Medical Center-Saranac Lake </w:t>
      </w:r>
      <w:r w:rsidRPr="007F4B12">
        <w:rPr>
          <w:rFonts w:ascii="Calibri Light" w:eastAsia="Times New Roman" w:hAnsi="Calibri Light" w:cs="Calibri Light"/>
          <w:color w:val="2F5496"/>
        </w:rPr>
        <w:t> </w:t>
      </w:r>
    </w:p>
    <w:p w14:paraId="692D67CC" w14:textId="752FCC05" w:rsidR="001B1EFE" w:rsidRPr="006E2325" w:rsidRDefault="007F4B12" w:rsidP="007F4B12">
      <w:pPr>
        <w:spacing w:after="0" w:line="240" w:lineRule="auto"/>
        <w:textAlignment w:val="baseline"/>
        <w:rPr>
          <w:rFonts w:ascii="Times New Roman" w:eastAsia="Times New Roman" w:hAnsi="Times New Roman" w:cs="Times New Roman"/>
          <w:color w:val="000000"/>
          <w:sz w:val="24"/>
          <w:szCs w:val="24"/>
        </w:rPr>
      </w:pPr>
      <w:r w:rsidRPr="007F4B12">
        <w:rPr>
          <w:rFonts w:ascii="Times New Roman" w:eastAsia="Times New Roman" w:hAnsi="Times New Roman" w:cs="Times New Roman"/>
          <w:color w:val="000000"/>
          <w:sz w:val="24"/>
          <w:szCs w:val="24"/>
        </w:rPr>
        <w:t> </w:t>
      </w:r>
    </w:p>
    <w:p w14:paraId="021E05EE" w14:textId="08AD90EC" w:rsidR="007F4B12" w:rsidRPr="007F4B12" w:rsidRDefault="00E03F22" w:rsidP="00EA6601">
      <w:pPr>
        <w:pStyle w:val="Heading2"/>
        <w:rPr>
          <w:rFonts w:ascii="Segoe UI" w:hAnsi="Segoe UI" w:cs="Segoe UI"/>
          <w:sz w:val="18"/>
          <w:szCs w:val="18"/>
        </w:rPr>
      </w:pPr>
      <w:bookmarkStart w:id="124" w:name="_Toc102048596"/>
      <w:r>
        <w:t xml:space="preserve">Section 3.3: </w:t>
      </w:r>
      <w:r w:rsidR="007F4B12" w:rsidRPr="007F4B12">
        <w:t>Correlation Factors Between Occupational and Patient Safety</w:t>
      </w:r>
      <w:bookmarkEnd w:id="124"/>
      <w:r w:rsidR="007F4B12" w:rsidRPr="007F4B12">
        <w:t>  </w:t>
      </w:r>
    </w:p>
    <w:p w14:paraId="54D63155" w14:textId="3973A48B" w:rsidR="007F4B12" w:rsidRPr="006B6C94" w:rsidRDefault="00E03F22" w:rsidP="00EA6601">
      <w:pPr>
        <w:pStyle w:val="Heading3"/>
        <w:rPr>
          <w:rFonts w:ascii="Segoe UI" w:hAnsi="Segoe UI" w:cs="Segoe UI"/>
          <w:b w:val="0"/>
          <w:bCs w:val="0"/>
          <w:i/>
          <w:iCs/>
          <w:sz w:val="18"/>
          <w:szCs w:val="18"/>
        </w:rPr>
      </w:pPr>
      <w:bookmarkStart w:id="125" w:name="_Toc102048597"/>
      <w:r w:rsidRPr="006B6C94">
        <w:rPr>
          <w:b w:val="0"/>
          <w:bCs w:val="0"/>
          <w:i/>
          <w:iCs/>
        </w:rPr>
        <w:t xml:space="preserve">Section 3.3.1: </w:t>
      </w:r>
      <w:r w:rsidR="007F4B12" w:rsidRPr="006B6C94">
        <w:rPr>
          <w:b w:val="0"/>
          <w:bCs w:val="0"/>
          <w:i/>
          <w:iCs/>
        </w:rPr>
        <w:t>Zip codes</w:t>
      </w:r>
      <w:bookmarkEnd w:id="125"/>
      <w:r w:rsidR="007F4B12" w:rsidRPr="006B6C94">
        <w:rPr>
          <w:b w:val="0"/>
          <w:bCs w:val="0"/>
          <w:i/>
          <w:iCs/>
        </w:rPr>
        <w:t>  </w:t>
      </w:r>
    </w:p>
    <w:p w14:paraId="382F7AB9" w14:textId="7ACD8B09" w:rsidR="007F4B12" w:rsidRDefault="007F4B12" w:rsidP="008C5F20">
      <w:pPr>
        <w:spacing w:after="0" w:line="276" w:lineRule="auto"/>
        <w:ind w:firstLine="180"/>
        <w:textAlignment w:val="baseline"/>
        <w:rPr>
          <w:rFonts w:ascii="Times New Roman" w:eastAsia="Times New Roman" w:hAnsi="Times New Roman" w:cs="Times New Roman"/>
          <w:color w:val="000000"/>
          <w:sz w:val="24"/>
          <w:szCs w:val="24"/>
        </w:rPr>
      </w:pPr>
      <w:r w:rsidRPr="007F4B12">
        <w:rPr>
          <w:rFonts w:ascii="Times New Roman" w:eastAsia="Times New Roman" w:hAnsi="Times New Roman" w:cs="Times New Roman"/>
          <w:color w:val="000000"/>
          <w:sz w:val="24"/>
          <w:szCs w:val="24"/>
        </w:rPr>
        <w:t>To combine the hospital and the occupational injury data sets, we found the zip codes within a ten-mile radius for the hospitals and matched them with the occupational hazards that occurred at those specific zip codes. We used a zip code query to find these zip codes (Qi, 2019). We counted the number of occupational claims in those zip codes within a 10-mile radius of the hospitals. It should be noted that during this portion of our research, we had</w:t>
      </w:r>
      <w:r w:rsidRPr="007F4B12">
        <w:rPr>
          <w:rFonts w:ascii="Times New Roman" w:eastAsia="Times New Roman" w:hAnsi="Times New Roman" w:cs="Times New Roman"/>
          <w:sz w:val="24"/>
          <w:szCs w:val="24"/>
        </w:rPr>
        <w:t xml:space="preserve"> excluded hospitals in major cities</w:t>
      </w:r>
      <w:r w:rsidRPr="007F4B12">
        <w:rPr>
          <w:rFonts w:ascii="Times New Roman" w:eastAsia="Times New Roman" w:hAnsi="Times New Roman" w:cs="Times New Roman"/>
          <w:color w:val="000000"/>
          <w:sz w:val="24"/>
          <w:szCs w:val="24"/>
        </w:rPr>
        <w:t>, New York City, Buffalo, Rochester, and Albany due inability to accurately determine which occupational injury corresponded to which hospital due to zip code overlap</w:t>
      </w:r>
      <w:r w:rsidRPr="007F4B12">
        <w:rPr>
          <w:rFonts w:ascii="Times New Roman" w:eastAsia="Times New Roman" w:hAnsi="Times New Roman" w:cs="Times New Roman"/>
          <w:sz w:val="24"/>
          <w:szCs w:val="24"/>
        </w:rPr>
        <w:t>.</w:t>
      </w:r>
      <w:r w:rsidRPr="007F4B12">
        <w:rPr>
          <w:rFonts w:ascii="Times New Roman" w:eastAsia="Times New Roman" w:hAnsi="Times New Roman" w:cs="Times New Roman"/>
          <w:color w:val="000000"/>
          <w:sz w:val="24"/>
          <w:szCs w:val="24"/>
        </w:rPr>
        <w:t>  </w:t>
      </w:r>
    </w:p>
    <w:p w14:paraId="1083EAD2" w14:textId="2C511B1E" w:rsidR="007F4B12" w:rsidRPr="006B6C94" w:rsidRDefault="00E03F22" w:rsidP="00EA6601">
      <w:pPr>
        <w:pStyle w:val="Heading3"/>
        <w:rPr>
          <w:rFonts w:ascii="Segoe UI" w:hAnsi="Segoe UI" w:cs="Segoe UI"/>
          <w:b w:val="0"/>
          <w:bCs w:val="0"/>
          <w:i/>
          <w:iCs/>
          <w:color w:val="1F3763"/>
          <w:sz w:val="18"/>
          <w:szCs w:val="18"/>
        </w:rPr>
      </w:pPr>
      <w:bookmarkStart w:id="126" w:name="_Toc102048598"/>
      <w:r w:rsidRPr="006B6C94">
        <w:rPr>
          <w:b w:val="0"/>
          <w:bCs w:val="0"/>
          <w:i/>
          <w:iCs/>
        </w:rPr>
        <w:t xml:space="preserve">Section </w:t>
      </w:r>
      <w:r w:rsidR="0096559A" w:rsidRPr="006B6C94">
        <w:rPr>
          <w:b w:val="0"/>
          <w:bCs w:val="0"/>
          <w:i/>
          <w:iCs/>
        </w:rPr>
        <w:t>3.3.2: Population</w:t>
      </w:r>
      <w:bookmarkEnd w:id="126"/>
    </w:p>
    <w:p w14:paraId="2FD42513" w14:textId="395C7D90" w:rsidR="007F4B12" w:rsidRDefault="007F4B12" w:rsidP="008C5F20">
      <w:pPr>
        <w:spacing w:after="0" w:line="276" w:lineRule="auto"/>
        <w:ind w:firstLine="180"/>
        <w:textAlignment w:val="baseline"/>
        <w:rPr>
          <w:rFonts w:ascii="Times New Roman" w:eastAsia="Times New Roman" w:hAnsi="Times New Roman" w:cs="Times New Roman"/>
          <w:color w:val="000000"/>
          <w:sz w:val="24"/>
          <w:szCs w:val="24"/>
        </w:rPr>
      </w:pPr>
      <w:r w:rsidRPr="007F4B12">
        <w:rPr>
          <w:rFonts w:ascii="Times New Roman" w:eastAsia="Times New Roman" w:hAnsi="Times New Roman" w:cs="Times New Roman"/>
          <w:color w:val="000000"/>
          <w:sz w:val="24"/>
          <w:szCs w:val="24"/>
        </w:rPr>
        <w:t>Hospital size depends on the number of beds but is also impacted by the geographical location. To address this issue and enable accurate hospital comparison, we standardized their size based on the population where the hospitals are respectively located. This was done from a simple Google search to determine population size in each zip code. </w:t>
      </w:r>
    </w:p>
    <w:p w14:paraId="789F18E0" w14:textId="51628786" w:rsidR="007F4B12" w:rsidRPr="006B6C94" w:rsidRDefault="0096559A" w:rsidP="00EA6601">
      <w:pPr>
        <w:pStyle w:val="Heading3"/>
        <w:rPr>
          <w:rFonts w:ascii="Segoe UI" w:hAnsi="Segoe UI" w:cs="Segoe UI"/>
          <w:b w:val="0"/>
          <w:bCs w:val="0"/>
          <w:i/>
          <w:iCs/>
          <w:sz w:val="18"/>
          <w:szCs w:val="18"/>
        </w:rPr>
      </w:pPr>
      <w:bookmarkStart w:id="127" w:name="_Toc102048599"/>
      <w:r w:rsidRPr="006B6C94">
        <w:rPr>
          <w:b w:val="0"/>
          <w:bCs w:val="0"/>
          <w:i/>
          <w:iCs/>
        </w:rPr>
        <w:t xml:space="preserve">Section 3.3.3: </w:t>
      </w:r>
      <w:r w:rsidR="00002279" w:rsidRPr="006B6C94">
        <w:rPr>
          <w:b w:val="0"/>
          <w:bCs w:val="0"/>
          <w:i/>
          <w:iCs/>
        </w:rPr>
        <w:t>Number of Beds</w:t>
      </w:r>
      <w:bookmarkEnd w:id="127"/>
    </w:p>
    <w:p w14:paraId="0A8A3473" w14:textId="5BD43452" w:rsidR="007F4B12" w:rsidRDefault="007F4B12" w:rsidP="008C5F20">
      <w:pPr>
        <w:spacing w:after="0" w:line="276" w:lineRule="auto"/>
        <w:ind w:firstLine="180"/>
        <w:textAlignment w:val="baseline"/>
        <w:rPr>
          <w:rFonts w:ascii="Times New Roman" w:eastAsia="Times New Roman" w:hAnsi="Times New Roman" w:cs="Times New Roman"/>
          <w:color w:val="000000"/>
          <w:sz w:val="24"/>
          <w:szCs w:val="24"/>
        </w:rPr>
      </w:pPr>
      <w:r w:rsidRPr="007F4B12">
        <w:rPr>
          <w:rFonts w:ascii="Times New Roman" w:eastAsia="Times New Roman" w:hAnsi="Times New Roman" w:cs="Times New Roman"/>
          <w:color w:val="000000"/>
          <w:sz w:val="24"/>
          <w:szCs w:val="24"/>
        </w:rPr>
        <w:t>The American Hospital Directory was the source utilized to identify the number of beds in the hospitals. The American Hospital Directory provides “data, statistics, and analytics about more than 7,000 hospitals nationwide” (American Hospital Directory, 2022). The number of beds, as seen in the “staffed beds” field in Figure 5, was employed to standardize injury counts, given that it allowed us to determine the size of hospitals. </w:t>
      </w:r>
    </w:p>
    <w:p w14:paraId="76E80215" w14:textId="77777777" w:rsidR="00E74A79" w:rsidRPr="007F4B12" w:rsidRDefault="00E74A79" w:rsidP="00E74A79">
      <w:pPr>
        <w:spacing w:after="0" w:line="276" w:lineRule="auto"/>
        <w:textAlignment w:val="baseline"/>
        <w:rPr>
          <w:rFonts w:ascii="Segoe UI" w:eastAsia="Times New Roman" w:hAnsi="Segoe UI" w:cs="Segoe UI"/>
          <w:sz w:val="18"/>
          <w:szCs w:val="18"/>
        </w:rPr>
      </w:pPr>
    </w:p>
    <w:p w14:paraId="730AE8FB" w14:textId="4AE7778F" w:rsidR="007F4B12" w:rsidRPr="007F4B12" w:rsidRDefault="007F4B12" w:rsidP="007F4B12">
      <w:pPr>
        <w:spacing w:after="0" w:line="240" w:lineRule="auto"/>
        <w:textAlignment w:val="baseline"/>
        <w:rPr>
          <w:rFonts w:ascii="Segoe UI" w:eastAsia="Times New Roman" w:hAnsi="Segoe UI" w:cs="Segoe UI"/>
          <w:sz w:val="18"/>
          <w:szCs w:val="18"/>
        </w:rPr>
      </w:pPr>
      <w:r w:rsidRPr="007F4B12">
        <w:rPr>
          <w:rFonts w:ascii="Segoe UI" w:eastAsia="Times New Roman" w:hAnsi="Segoe UI" w:cs="Segoe UI"/>
          <w:noProof/>
          <w:sz w:val="18"/>
          <w:szCs w:val="18"/>
        </w:rPr>
        <w:lastRenderedPageBreak/>
        <w:drawing>
          <wp:inline distT="0" distB="0" distL="0" distR="0" wp14:anchorId="32D753B1" wp14:editId="2738D8F2">
            <wp:extent cx="5943600" cy="2525395"/>
            <wp:effectExtent l="0" t="0" r="0" b="8255"/>
            <wp:docPr id="56" name="Picture 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525395"/>
                    </a:xfrm>
                    <a:prstGeom prst="rect">
                      <a:avLst/>
                    </a:prstGeom>
                    <a:noFill/>
                    <a:ln>
                      <a:noFill/>
                    </a:ln>
                  </pic:spPr>
                </pic:pic>
              </a:graphicData>
            </a:graphic>
          </wp:inline>
        </w:drawing>
      </w:r>
      <w:r w:rsidRPr="007F4B12">
        <w:rPr>
          <w:rFonts w:ascii="Calibri Light" w:eastAsia="Times New Roman" w:hAnsi="Calibri Light" w:cs="Calibri Light"/>
          <w:i/>
          <w:iCs/>
          <w:color w:val="2F5496"/>
        </w:rPr>
        <w:t>Figure 5: Excerpt from the American Hospital Directory</w:t>
      </w:r>
      <w:r w:rsidRPr="007F4B12">
        <w:rPr>
          <w:rFonts w:ascii="Calibri Light" w:eastAsia="Times New Roman" w:hAnsi="Calibri Light" w:cs="Calibri Light"/>
          <w:color w:val="2F5496"/>
        </w:rPr>
        <w:t> </w:t>
      </w:r>
    </w:p>
    <w:p w14:paraId="0498D0C9" w14:textId="52682DE4" w:rsidR="007F4B12" w:rsidRPr="007F4B12" w:rsidRDefault="001E033D" w:rsidP="00044D9E">
      <w:pPr>
        <w:pStyle w:val="Heading3"/>
        <w:rPr>
          <w:rFonts w:ascii="Segoe UI" w:hAnsi="Segoe UI" w:cs="Segoe UI"/>
          <w:color w:val="1F3763"/>
          <w:sz w:val="18"/>
          <w:szCs w:val="18"/>
        </w:rPr>
      </w:pPr>
      <w:bookmarkStart w:id="128" w:name="_Toc102048600"/>
      <w:r>
        <w:t>Section 3.</w:t>
      </w:r>
      <w:r w:rsidR="00044D9E">
        <w:t>3.</w:t>
      </w:r>
      <w:r>
        <w:t xml:space="preserve">4: </w:t>
      </w:r>
      <w:r w:rsidR="007F4B12" w:rsidRPr="007F4B12">
        <w:t>Statistical Analysis</w:t>
      </w:r>
      <w:bookmarkEnd w:id="128"/>
      <w:r w:rsidR="007F4B12" w:rsidRPr="007F4B12">
        <w:t>  </w:t>
      </w:r>
    </w:p>
    <w:p w14:paraId="758E5C33" w14:textId="7AA9A9B8" w:rsidR="007F4B12" w:rsidRDefault="007F4B12" w:rsidP="008C5F20">
      <w:pPr>
        <w:spacing w:after="0" w:line="276" w:lineRule="auto"/>
        <w:ind w:firstLine="180"/>
        <w:textAlignment w:val="baseline"/>
        <w:rPr>
          <w:rFonts w:ascii="Times New Roman" w:eastAsia="Times New Roman" w:hAnsi="Times New Roman" w:cs="Times New Roman"/>
          <w:color w:val="000000"/>
          <w:sz w:val="24"/>
          <w:szCs w:val="24"/>
        </w:rPr>
      </w:pPr>
      <w:r w:rsidRPr="007F4B12">
        <w:rPr>
          <w:rFonts w:ascii="Times New Roman" w:eastAsia="Times New Roman" w:hAnsi="Times New Roman" w:cs="Times New Roman"/>
          <w:color w:val="000000"/>
          <w:sz w:val="24"/>
          <w:szCs w:val="24"/>
        </w:rPr>
        <w:t>Before beginning our statistical analysis, we first standardized our data set to decrease data errors or variance. This was largely through eliminating hospitals in high-metropolitan areas, since we could not accurately determine which occupational injuries correlated to which hospital accurately due to the proximity of the hospitals. We then used python to create a code which looked for correlation between our data sets. </w:t>
      </w:r>
    </w:p>
    <w:p w14:paraId="59E0DF52" w14:textId="77777777" w:rsidR="00E74A79" w:rsidRPr="007F4B12" w:rsidRDefault="00E74A79" w:rsidP="00E74A79">
      <w:pPr>
        <w:spacing w:after="0" w:line="276" w:lineRule="auto"/>
        <w:textAlignment w:val="baseline"/>
        <w:rPr>
          <w:rFonts w:ascii="Segoe UI" w:eastAsia="Times New Roman" w:hAnsi="Segoe UI" w:cs="Segoe UI"/>
          <w:sz w:val="18"/>
          <w:szCs w:val="18"/>
        </w:rPr>
      </w:pPr>
    </w:p>
    <w:p w14:paraId="7173FEAB" w14:textId="76A10A8D" w:rsidR="007F4B12" w:rsidRPr="007F4B12" w:rsidRDefault="007F4B12" w:rsidP="007F4B12">
      <w:pPr>
        <w:spacing w:after="0" w:line="240" w:lineRule="auto"/>
        <w:textAlignment w:val="baseline"/>
        <w:rPr>
          <w:rFonts w:ascii="Segoe UI" w:eastAsia="Times New Roman" w:hAnsi="Segoe UI" w:cs="Segoe UI"/>
          <w:sz w:val="18"/>
          <w:szCs w:val="18"/>
        </w:rPr>
      </w:pPr>
      <w:r w:rsidRPr="007F4B12">
        <w:rPr>
          <w:rFonts w:ascii="Segoe UI" w:eastAsia="Times New Roman" w:hAnsi="Segoe UI" w:cs="Segoe UI"/>
          <w:noProof/>
          <w:sz w:val="18"/>
          <w:szCs w:val="18"/>
        </w:rPr>
        <w:drawing>
          <wp:inline distT="0" distB="0" distL="0" distR="0" wp14:anchorId="09B28006" wp14:editId="58FCD5C0">
            <wp:extent cx="5943600" cy="1685290"/>
            <wp:effectExtent l="0" t="0" r="0" b="0"/>
            <wp:docPr id="55" name="Picture 5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685290"/>
                    </a:xfrm>
                    <a:prstGeom prst="rect">
                      <a:avLst/>
                    </a:prstGeom>
                    <a:noFill/>
                    <a:ln>
                      <a:noFill/>
                    </a:ln>
                  </pic:spPr>
                </pic:pic>
              </a:graphicData>
            </a:graphic>
          </wp:inline>
        </w:drawing>
      </w:r>
      <w:r w:rsidRPr="007F4B12">
        <w:rPr>
          <w:rFonts w:ascii="Calibri" w:eastAsia="Times New Roman" w:hAnsi="Calibri" w:cs="Calibri"/>
        </w:rPr>
        <w:t> </w:t>
      </w:r>
    </w:p>
    <w:p w14:paraId="09FDE6ED" w14:textId="77777777" w:rsidR="007F4B12" w:rsidRPr="007F4B12" w:rsidRDefault="007F4B12" w:rsidP="007F4B12">
      <w:pPr>
        <w:spacing w:after="0" w:line="240" w:lineRule="auto"/>
        <w:textAlignment w:val="baseline"/>
        <w:rPr>
          <w:rFonts w:ascii="Segoe UI" w:eastAsia="Times New Roman" w:hAnsi="Segoe UI" w:cs="Segoe UI"/>
          <w:sz w:val="18"/>
          <w:szCs w:val="18"/>
        </w:rPr>
      </w:pPr>
      <w:r w:rsidRPr="007F4B12">
        <w:rPr>
          <w:rFonts w:ascii="Calibri Light" w:eastAsia="Times New Roman" w:hAnsi="Calibri Light" w:cs="Calibri Light"/>
          <w:color w:val="2F5496"/>
        </w:rPr>
        <w:t>Figure 6: Code used for statistical analysis to indicate correlation  </w:t>
      </w:r>
    </w:p>
    <w:p w14:paraId="6C90CEDD" w14:textId="56925209" w:rsidR="007F4B12" w:rsidRPr="007F4B12" w:rsidRDefault="00D82863" w:rsidP="00EA6601">
      <w:pPr>
        <w:pStyle w:val="Heading2"/>
        <w:rPr>
          <w:rFonts w:ascii="Segoe UI" w:hAnsi="Segoe UI" w:cs="Segoe UI"/>
          <w:sz w:val="18"/>
          <w:szCs w:val="18"/>
        </w:rPr>
      </w:pPr>
      <w:bookmarkStart w:id="129" w:name="_Toc102048601"/>
      <w:r>
        <w:t>Section 3.</w:t>
      </w:r>
      <w:r w:rsidR="00044D9E">
        <w:t>4</w:t>
      </w:r>
      <w:r>
        <w:t xml:space="preserve">: </w:t>
      </w:r>
      <w:r w:rsidR="007F4B12" w:rsidRPr="007F4B12">
        <w:t>Limitations</w:t>
      </w:r>
      <w:bookmarkEnd w:id="129"/>
      <w:r w:rsidR="007F4B12" w:rsidRPr="007F4B12">
        <w:t>  </w:t>
      </w:r>
    </w:p>
    <w:p w14:paraId="339054CF" w14:textId="5B4BA9B5" w:rsidR="00964EA0" w:rsidRDefault="007F4B12" w:rsidP="008C5F20">
      <w:pPr>
        <w:spacing w:after="0" w:line="276" w:lineRule="auto"/>
        <w:ind w:firstLine="180"/>
        <w:textAlignment w:val="baseline"/>
        <w:rPr>
          <w:rFonts w:ascii="Times New Roman" w:eastAsia="Times New Roman" w:hAnsi="Times New Roman" w:cs="Times New Roman"/>
          <w:color w:val="000000"/>
          <w:sz w:val="24"/>
          <w:szCs w:val="24"/>
        </w:rPr>
      </w:pPr>
      <w:r w:rsidRPr="007F4B12">
        <w:rPr>
          <w:rFonts w:ascii="Times New Roman" w:eastAsia="Times New Roman" w:hAnsi="Times New Roman" w:cs="Times New Roman"/>
          <w:color w:val="000000"/>
          <w:sz w:val="24"/>
          <w:szCs w:val="24"/>
        </w:rPr>
        <w:t xml:space="preserve">There are a few limitations to our approach to studying the culture of safety at New York Hospitals. To begin with, the culture of safety as a concept is an extremely complex and dynamic one that is difficult to measure. We decided to use patient outcomes to decipher it, but this excluded many aspects like policies or leadership that these hospitals may have but are not seen within the provided Medicare website metrics. Furthermore, all our data is online information </w:t>
      </w:r>
      <w:r w:rsidRPr="007F4B12">
        <w:rPr>
          <w:rFonts w:ascii="Times New Roman" w:eastAsia="Times New Roman" w:hAnsi="Times New Roman" w:cs="Times New Roman"/>
          <w:color w:val="000000"/>
          <w:sz w:val="24"/>
          <w:szCs w:val="24"/>
        </w:rPr>
        <w:lastRenderedPageBreak/>
        <w:t>with little context provided. We assumed the definitions of the columns in the NY workers compensation claims website. Next, we assumed that people who live in a 10-mile radius of the hospital would go to those specific hospitals. </w:t>
      </w:r>
    </w:p>
    <w:p w14:paraId="0E8ED251" w14:textId="3A54F46E" w:rsidR="00964EA0" w:rsidRPr="002339ED" w:rsidRDefault="00964EA0" w:rsidP="002339ED">
      <w:pPr>
        <w:pStyle w:val="Heading1"/>
        <w:rPr>
          <w:sz w:val="40"/>
          <w:szCs w:val="40"/>
        </w:rPr>
      </w:pPr>
      <w:bookmarkStart w:id="130" w:name="_Toc102048602"/>
      <w:r w:rsidRPr="002339ED">
        <w:rPr>
          <w:rStyle w:val="normaltextrun"/>
          <w:sz w:val="40"/>
          <w:szCs w:val="40"/>
        </w:rPr>
        <w:t>Chapter 4: Results</w:t>
      </w:r>
      <w:bookmarkEnd w:id="130"/>
      <w:r w:rsidRPr="002339ED">
        <w:rPr>
          <w:rStyle w:val="eop"/>
          <w:sz w:val="40"/>
          <w:szCs w:val="40"/>
        </w:rPr>
        <w:t> </w:t>
      </w:r>
    </w:p>
    <w:p w14:paraId="18271969" w14:textId="4C5AABEB" w:rsidR="00964EA0" w:rsidRDefault="00964EA0" w:rsidP="008C5F20">
      <w:pPr>
        <w:pStyle w:val="paragraph"/>
        <w:spacing w:before="0" w:beforeAutospacing="0" w:after="0" w:afterAutospacing="0" w:line="276" w:lineRule="auto"/>
        <w:ind w:firstLine="180"/>
        <w:textAlignment w:val="baseline"/>
        <w:rPr>
          <w:rStyle w:val="eop"/>
          <w:rFonts w:eastAsiaTheme="majorEastAsia"/>
          <w:color w:val="000000"/>
        </w:rPr>
      </w:pPr>
      <w:r>
        <w:rPr>
          <w:rStyle w:val="normaltextrun"/>
          <w:color w:val="000000"/>
        </w:rPr>
        <w:t>We were unable to confirm our hypothesis that patient safety and occupational hazards were positively correlated. Figure 6 demonstrates bed/injury/population versus safety grade. The y-axis demonstrates the injury count standardized by the number of beds and the population in the given zip codes of the hospitals. This is a standardized metric enabling direct comparison between all the hospitals. If these standardizations did not occur, then larger hospitals would be compared with smaller hospitals, and conclusions would not be able to be made. The x-axis demonstrates the patient safety grade. The metric reflects the patient safety practices among the 25 hospitals studied using the grading described in Table 1. The graph demonstrates that their relationship is horizontal, meaning that there is no change or no correlation.</w:t>
      </w:r>
      <w:r>
        <w:rPr>
          <w:rStyle w:val="eop"/>
          <w:rFonts w:eastAsiaTheme="majorEastAsia"/>
          <w:color w:val="000000"/>
        </w:rPr>
        <w:t> </w:t>
      </w:r>
    </w:p>
    <w:p w14:paraId="4D8235E7" w14:textId="77777777" w:rsidR="00E74A79" w:rsidRDefault="00E74A79" w:rsidP="00E74A79">
      <w:pPr>
        <w:pStyle w:val="paragraph"/>
        <w:spacing w:before="0" w:beforeAutospacing="0" w:after="0" w:afterAutospacing="0" w:line="276" w:lineRule="auto"/>
        <w:textAlignment w:val="baseline"/>
        <w:rPr>
          <w:rFonts w:ascii="Segoe UI" w:hAnsi="Segoe UI" w:cs="Segoe UI"/>
          <w:sz w:val="18"/>
          <w:szCs w:val="18"/>
        </w:rPr>
      </w:pPr>
    </w:p>
    <w:p w14:paraId="6C81510A" w14:textId="77777777" w:rsidR="002339ED" w:rsidRDefault="00964EA0" w:rsidP="00964EA0">
      <w:pPr>
        <w:pStyle w:val="paragraph"/>
        <w:spacing w:before="0" w:beforeAutospacing="0" w:after="0" w:afterAutospacing="0"/>
        <w:textAlignment w:val="baseline"/>
        <w:rPr>
          <w:rStyle w:val="normaltextrun"/>
          <w:rFonts w:ascii="Calibri Light" w:hAnsi="Calibri Light" w:cs="Calibri Light"/>
          <w:b/>
          <w:bCs/>
          <w:i/>
          <w:iCs/>
          <w:color w:val="2F5496"/>
          <w:sz w:val="22"/>
          <w:szCs w:val="22"/>
        </w:rPr>
      </w:pPr>
      <w:r>
        <w:rPr>
          <w:noProof/>
          <w:color w:val="000000"/>
        </w:rPr>
        <w:drawing>
          <wp:inline distT="0" distB="0" distL="0" distR="0" wp14:anchorId="4B59EB07" wp14:editId="7D7B6E93">
            <wp:extent cx="4457700" cy="2766060"/>
            <wp:effectExtent l="0" t="0" r="0" b="0"/>
            <wp:docPr id="70" name="Picture 7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hart, line char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7700" cy="2766060"/>
                    </a:xfrm>
                    <a:prstGeom prst="rect">
                      <a:avLst/>
                    </a:prstGeom>
                    <a:noFill/>
                    <a:ln>
                      <a:noFill/>
                    </a:ln>
                  </pic:spPr>
                </pic:pic>
              </a:graphicData>
            </a:graphic>
          </wp:inline>
        </w:drawing>
      </w:r>
    </w:p>
    <w:p w14:paraId="2F069C86" w14:textId="11F7DA60" w:rsidR="00964EA0" w:rsidRDefault="00964EA0" w:rsidP="00964EA0">
      <w:pPr>
        <w:pStyle w:val="paragraph"/>
        <w:spacing w:before="0" w:beforeAutospacing="0" w:after="0" w:afterAutospacing="0"/>
        <w:textAlignment w:val="baseline"/>
        <w:rPr>
          <w:rFonts w:ascii="Segoe UI" w:hAnsi="Segoe UI" w:cs="Segoe UI"/>
          <w:i/>
          <w:iCs/>
          <w:color w:val="2F5496"/>
          <w:sz w:val="18"/>
          <w:szCs w:val="18"/>
        </w:rPr>
      </w:pPr>
      <w:r>
        <w:rPr>
          <w:rStyle w:val="normaltextrun"/>
          <w:rFonts w:ascii="Calibri Light" w:hAnsi="Calibri Light" w:cs="Calibri Light"/>
          <w:b/>
          <w:bCs/>
          <w:i/>
          <w:iCs/>
          <w:color w:val="2F5496"/>
          <w:sz w:val="22"/>
          <w:szCs w:val="22"/>
        </w:rPr>
        <w:t xml:space="preserve">Figure 6: Comparison of safety grade to occupational injuries- </w:t>
      </w:r>
      <w:r>
        <w:rPr>
          <w:rStyle w:val="normaltextrun"/>
          <w:i/>
          <w:iCs/>
          <w:color w:val="2F5496"/>
        </w:rPr>
        <w:t>Due to lack of positive slope we can determine there is no correlation between safety grade and injury count, our hypothesis was not proven. </w:t>
      </w:r>
      <w:r>
        <w:rPr>
          <w:rStyle w:val="eop"/>
          <w:rFonts w:eastAsiaTheme="majorEastAsia"/>
          <w:i/>
          <w:iCs/>
          <w:color w:val="2F5496"/>
        </w:rPr>
        <w:t> </w:t>
      </w:r>
    </w:p>
    <w:p w14:paraId="2BAF902E" w14:textId="77777777" w:rsidR="00964EA0" w:rsidRDefault="00964EA0" w:rsidP="00964EA0">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093B03D7" w14:textId="77777777" w:rsidR="00964EA0" w:rsidRDefault="00964EA0" w:rsidP="008C5F20">
      <w:pPr>
        <w:pStyle w:val="paragraph"/>
        <w:spacing w:before="0" w:beforeAutospacing="0" w:after="0" w:afterAutospacing="0" w:line="276" w:lineRule="auto"/>
        <w:ind w:firstLine="180"/>
        <w:textAlignment w:val="baseline"/>
        <w:rPr>
          <w:rFonts w:ascii="Segoe UI" w:hAnsi="Segoe UI" w:cs="Segoe UI"/>
          <w:sz w:val="18"/>
          <w:szCs w:val="18"/>
        </w:rPr>
      </w:pPr>
      <w:r>
        <w:rPr>
          <w:rStyle w:val="normaltextrun"/>
        </w:rPr>
        <w:t>While we were unable to find a positive correlation between patient safety and occupational hazard count, we identified a positive correlation between patient safety and the hospital size. Figure 7 has the safety grade on the y-axis while the number of beds is on the x-axis to demonstrate their correlation. The positive relation between these two variables was found to be statistically significant. These values, through the code demonstrated in Figure 8, had a strong correlation.</w:t>
      </w:r>
      <w:r>
        <w:rPr>
          <w:rStyle w:val="eop"/>
          <w:rFonts w:eastAsiaTheme="majorEastAsia"/>
        </w:rPr>
        <w:t> </w:t>
      </w:r>
    </w:p>
    <w:p w14:paraId="380EFB64" w14:textId="77777777" w:rsidR="00964EA0" w:rsidRDefault="00964EA0" w:rsidP="00964EA0">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2ECEC902" w14:textId="214F2AED" w:rsidR="002339ED" w:rsidRDefault="00964EA0" w:rsidP="00964EA0">
      <w:pPr>
        <w:pStyle w:val="paragraph"/>
        <w:spacing w:before="0" w:beforeAutospacing="0" w:after="0" w:afterAutospacing="0"/>
        <w:textAlignment w:val="baseline"/>
        <w:rPr>
          <w:rStyle w:val="normaltextrun"/>
          <w:rFonts w:ascii="Calibri Light" w:hAnsi="Calibri Light" w:cs="Calibri Light"/>
          <w:i/>
          <w:iCs/>
          <w:color w:val="2F5496"/>
          <w:sz w:val="22"/>
          <w:szCs w:val="22"/>
        </w:rPr>
      </w:pPr>
      <w:r>
        <w:rPr>
          <w:noProof/>
          <w:color w:val="000000"/>
        </w:rPr>
        <w:lastRenderedPageBreak/>
        <w:drawing>
          <wp:inline distT="0" distB="0" distL="0" distR="0" wp14:anchorId="539A5591" wp14:editId="662EA2BA">
            <wp:extent cx="4457700" cy="2766060"/>
            <wp:effectExtent l="0" t="0" r="0" b="0"/>
            <wp:docPr id="69" name="Picture 6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hart, line char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57700" cy="2766060"/>
                    </a:xfrm>
                    <a:prstGeom prst="rect">
                      <a:avLst/>
                    </a:prstGeom>
                    <a:noFill/>
                    <a:ln>
                      <a:noFill/>
                    </a:ln>
                  </pic:spPr>
                </pic:pic>
              </a:graphicData>
            </a:graphic>
          </wp:inline>
        </w:drawing>
      </w:r>
    </w:p>
    <w:p w14:paraId="752E8E53" w14:textId="77777777" w:rsidR="00E74A79" w:rsidRDefault="00E74A79" w:rsidP="00964EA0">
      <w:pPr>
        <w:pStyle w:val="paragraph"/>
        <w:spacing w:before="0" w:beforeAutospacing="0" w:after="0" w:afterAutospacing="0"/>
        <w:textAlignment w:val="baseline"/>
        <w:rPr>
          <w:rStyle w:val="normaltextrun"/>
          <w:rFonts w:ascii="Calibri Light" w:hAnsi="Calibri Light" w:cs="Calibri Light"/>
          <w:i/>
          <w:iCs/>
          <w:color w:val="2F5496"/>
          <w:sz w:val="22"/>
          <w:szCs w:val="22"/>
        </w:rPr>
      </w:pPr>
    </w:p>
    <w:p w14:paraId="31CEEC38" w14:textId="16170A41" w:rsidR="00964EA0" w:rsidRDefault="00964EA0" w:rsidP="00964EA0">
      <w:pPr>
        <w:pStyle w:val="paragraph"/>
        <w:spacing w:before="0" w:beforeAutospacing="0" w:after="0" w:afterAutospacing="0"/>
        <w:textAlignment w:val="baseline"/>
        <w:rPr>
          <w:rStyle w:val="eop"/>
          <w:rFonts w:ascii="Calibri Light" w:eastAsiaTheme="majorEastAsia" w:hAnsi="Calibri Light" w:cs="Calibri Light"/>
          <w:color w:val="2F5496"/>
          <w:sz w:val="22"/>
          <w:szCs w:val="22"/>
        </w:rPr>
      </w:pPr>
      <w:r w:rsidRPr="002339ED">
        <w:rPr>
          <w:rStyle w:val="normaltextrun"/>
          <w:rFonts w:ascii="Calibri Light" w:hAnsi="Calibri Light" w:cs="Calibri Light"/>
          <w:b/>
          <w:bCs/>
          <w:i/>
          <w:iCs/>
          <w:color w:val="2F5496"/>
          <w:sz w:val="22"/>
          <w:szCs w:val="22"/>
        </w:rPr>
        <w:t>Figure 7: Safety grade is positively correlated with the sizes of the NY hospitals</w:t>
      </w:r>
      <w:r>
        <w:rPr>
          <w:rStyle w:val="normaltextrun"/>
          <w:rFonts w:ascii="Calibri Light" w:hAnsi="Calibri Light" w:cs="Calibri Light"/>
          <w:i/>
          <w:iCs/>
          <w:color w:val="2F5496"/>
          <w:sz w:val="22"/>
          <w:szCs w:val="22"/>
        </w:rPr>
        <w:t xml:space="preserve">. </w:t>
      </w:r>
      <w:r>
        <w:rPr>
          <w:rStyle w:val="normaltextrun"/>
          <w:rFonts w:ascii="Calibri Light" w:hAnsi="Calibri Light" w:cs="Calibri Light"/>
          <w:color w:val="2F5496"/>
          <w:sz w:val="22"/>
          <w:szCs w:val="22"/>
        </w:rPr>
        <w:t>As the number of beds in the NY hospitals increases, the safety grade increases as well. In other words, the larger the hospitals are, the better patient outcomes they tend to have. This was a statistically significant finding. </w:t>
      </w:r>
      <w:r>
        <w:rPr>
          <w:rStyle w:val="eop"/>
          <w:rFonts w:ascii="Calibri Light" w:eastAsiaTheme="majorEastAsia" w:hAnsi="Calibri Light" w:cs="Calibri Light"/>
          <w:color w:val="2F5496"/>
          <w:sz w:val="22"/>
          <w:szCs w:val="22"/>
        </w:rPr>
        <w:t> </w:t>
      </w:r>
    </w:p>
    <w:p w14:paraId="0CF11C15" w14:textId="77777777" w:rsidR="00E74A79" w:rsidRDefault="00E74A79" w:rsidP="00964EA0">
      <w:pPr>
        <w:pStyle w:val="paragraph"/>
        <w:spacing w:before="0" w:beforeAutospacing="0" w:after="0" w:afterAutospacing="0"/>
        <w:textAlignment w:val="baseline"/>
        <w:rPr>
          <w:rFonts w:ascii="Segoe UI" w:hAnsi="Segoe UI" w:cs="Segoe UI"/>
          <w:sz w:val="18"/>
          <w:szCs w:val="18"/>
        </w:rPr>
      </w:pPr>
    </w:p>
    <w:p w14:paraId="6A48DF5B" w14:textId="4E020C9F" w:rsidR="00964EA0" w:rsidRDefault="00964EA0" w:rsidP="00964EA0">
      <w:pPr>
        <w:pStyle w:val="paragraph"/>
        <w:spacing w:before="0" w:beforeAutospacing="0" w:after="0" w:afterAutospacing="0"/>
        <w:textAlignment w:val="baseline"/>
        <w:rPr>
          <w:rStyle w:val="eop"/>
          <w:rFonts w:ascii="Calibri Light" w:eastAsiaTheme="majorEastAsia" w:hAnsi="Calibri Light" w:cs="Calibri Light"/>
          <w:color w:val="2F5496"/>
          <w:sz w:val="22"/>
          <w:szCs w:val="22"/>
        </w:rPr>
      </w:pPr>
      <w:r>
        <w:rPr>
          <w:noProof/>
          <w:color w:val="000000"/>
        </w:rPr>
        <w:drawing>
          <wp:inline distT="0" distB="0" distL="0" distR="0" wp14:anchorId="62D17656" wp14:editId="19378835">
            <wp:extent cx="5943600" cy="1158875"/>
            <wp:effectExtent l="0" t="0" r="0" b="3175"/>
            <wp:docPr id="68" name="Picture 6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 application&#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1158875"/>
                    </a:xfrm>
                    <a:prstGeom prst="rect">
                      <a:avLst/>
                    </a:prstGeom>
                    <a:noFill/>
                    <a:ln>
                      <a:noFill/>
                    </a:ln>
                  </pic:spPr>
                </pic:pic>
              </a:graphicData>
            </a:graphic>
          </wp:inline>
        </w:drawing>
      </w:r>
      <w:r w:rsidRPr="002339ED">
        <w:rPr>
          <w:rStyle w:val="normaltextrun"/>
          <w:rFonts w:ascii="Calibri Light" w:hAnsi="Calibri Light" w:cs="Calibri Light"/>
          <w:b/>
          <w:bCs/>
          <w:i/>
          <w:iCs/>
          <w:color w:val="2F5496"/>
          <w:sz w:val="22"/>
          <w:szCs w:val="22"/>
        </w:rPr>
        <w:t>Figure 8: Code used to determine correlation of initial factors</w:t>
      </w:r>
      <w:r>
        <w:rPr>
          <w:rStyle w:val="normaltextrun"/>
          <w:rFonts w:ascii="Calibri Light" w:hAnsi="Calibri Light" w:cs="Calibri Light"/>
          <w:i/>
          <w:iCs/>
          <w:color w:val="2F5496"/>
          <w:sz w:val="22"/>
          <w:szCs w:val="22"/>
        </w:rPr>
        <w:t xml:space="preserve">. </w:t>
      </w:r>
      <w:r>
        <w:rPr>
          <w:rStyle w:val="normaltextrun"/>
          <w:rFonts w:ascii="Calibri Light" w:hAnsi="Calibri Light" w:cs="Calibri Light"/>
          <w:color w:val="2F5496"/>
          <w:sz w:val="22"/>
          <w:szCs w:val="22"/>
        </w:rPr>
        <w:t>A strong correlation was indicated between the number of beds and the safety grade determined from the Medicare website</w:t>
      </w:r>
      <w:r>
        <w:rPr>
          <w:rStyle w:val="eop"/>
          <w:rFonts w:ascii="Calibri Light" w:eastAsiaTheme="majorEastAsia" w:hAnsi="Calibri Light" w:cs="Calibri Light"/>
          <w:color w:val="2F5496"/>
          <w:sz w:val="22"/>
          <w:szCs w:val="22"/>
        </w:rPr>
        <w:t> </w:t>
      </w:r>
    </w:p>
    <w:p w14:paraId="3FAB00C2" w14:textId="77777777" w:rsidR="002339ED" w:rsidRDefault="002339ED" w:rsidP="00964EA0">
      <w:pPr>
        <w:pStyle w:val="paragraph"/>
        <w:spacing w:before="0" w:beforeAutospacing="0" w:after="0" w:afterAutospacing="0"/>
        <w:textAlignment w:val="baseline"/>
        <w:rPr>
          <w:rFonts w:ascii="Segoe UI" w:hAnsi="Segoe UI" w:cs="Segoe UI"/>
          <w:sz w:val="18"/>
          <w:szCs w:val="18"/>
        </w:rPr>
      </w:pPr>
    </w:p>
    <w:p w14:paraId="08AD9D0C" w14:textId="77777777" w:rsidR="00964EA0" w:rsidRDefault="00964EA0" w:rsidP="008C5F20">
      <w:pPr>
        <w:pStyle w:val="paragraph"/>
        <w:spacing w:before="0" w:beforeAutospacing="0" w:after="0" w:afterAutospacing="0" w:line="276" w:lineRule="auto"/>
        <w:ind w:firstLine="180"/>
        <w:textAlignment w:val="baseline"/>
        <w:rPr>
          <w:rFonts w:ascii="Segoe UI" w:hAnsi="Segoe UI" w:cs="Segoe UI"/>
          <w:sz w:val="18"/>
          <w:szCs w:val="18"/>
        </w:rPr>
      </w:pPr>
      <w:r>
        <w:rPr>
          <w:rStyle w:val="normaltextrun"/>
        </w:rPr>
        <w:t>In comparison, Figure 9 demonstrates safety grade versus robustness, a variable that is indicative of the hospital's quality of reporting data. This illustrates a positive correlation between the two suggesting that the better safety practices a hospital has, note-taking, policy, or strong leadership as examples, then the better patient outcomes they will have. More specifically, based on data robustness, hospitals which reported their patient outcomes were more likely to have less occupational accidents. Together, this suggests that larger hospitals were more likely to report data, indicating a developed culture of safety.</w:t>
      </w:r>
      <w:r>
        <w:rPr>
          <w:rStyle w:val="eop"/>
          <w:rFonts w:eastAsiaTheme="majorEastAsia"/>
        </w:rPr>
        <w:t> </w:t>
      </w:r>
    </w:p>
    <w:p w14:paraId="076E99EC" w14:textId="77777777" w:rsidR="00964EA0" w:rsidRDefault="00964EA0" w:rsidP="00964EA0">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70A6F9B0" w14:textId="77777777" w:rsidR="002339ED" w:rsidRDefault="00964EA0" w:rsidP="00964EA0">
      <w:pPr>
        <w:pStyle w:val="paragraph"/>
        <w:spacing w:before="0" w:beforeAutospacing="0" w:after="0" w:afterAutospacing="0"/>
        <w:textAlignment w:val="baseline"/>
        <w:rPr>
          <w:rStyle w:val="normaltextrun"/>
          <w:rFonts w:ascii="Calibri Light" w:hAnsi="Calibri Light" w:cs="Calibri Light"/>
          <w:i/>
          <w:iCs/>
          <w:color w:val="2F5496"/>
          <w:sz w:val="22"/>
          <w:szCs w:val="22"/>
        </w:rPr>
      </w:pPr>
      <w:r>
        <w:rPr>
          <w:noProof/>
          <w:color w:val="000000"/>
        </w:rPr>
        <w:lastRenderedPageBreak/>
        <w:drawing>
          <wp:inline distT="0" distB="0" distL="0" distR="0" wp14:anchorId="18B5B935" wp14:editId="0E4AEF90">
            <wp:extent cx="4457700" cy="2712720"/>
            <wp:effectExtent l="0" t="0" r="0" b="0"/>
            <wp:docPr id="67" name="Picture 6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hart, line char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57700" cy="2712720"/>
                    </a:xfrm>
                    <a:prstGeom prst="rect">
                      <a:avLst/>
                    </a:prstGeom>
                    <a:noFill/>
                    <a:ln>
                      <a:noFill/>
                    </a:ln>
                  </pic:spPr>
                </pic:pic>
              </a:graphicData>
            </a:graphic>
          </wp:inline>
        </w:drawing>
      </w:r>
    </w:p>
    <w:p w14:paraId="3913ADEE" w14:textId="1E48F9E1" w:rsidR="00964EA0" w:rsidRDefault="00964EA0" w:rsidP="00964EA0">
      <w:pPr>
        <w:pStyle w:val="paragraph"/>
        <w:spacing w:before="0" w:beforeAutospacing="0" w:after="0" w:afterAutospacing="0"/>
        <w:textAlignment w:val="baseline"/>
        <w:rPr>
          <w:rFonts w:ascii="Segoe UI" w:hAnsi="Segoe UI" w:cs="Segoe UI"/>
          <w:sz w:val="18"/>
          <w:szCs w:val="18"/>
        </w:rPr>
      </w:pPr>
      <w:r w:rsidRPr="002339ED">
        <w:rPr>
          <w:rStyle w:val="normaltextrun"/>
          <w:rFonts w:ascii="Calibri Light" w:hAnsi="Calibri Light" w:cs="Calibri Light"/>
          <w:b/>
          <w:bCs/>
          <w:i/>
          <w:iCs/>
          <w:color w:val="2F5496"/>
          <w:sz w:val="22"/>
          <w:szCs w:val="22"/>
        </w:rPr>
        <w:t>Figure 9: Patient outcomes become better with improved safety practices.</w:t>
      </w:r>
      <w:r>
        <w:rPr>
          <w:rStyle w:val="normaltextrun"/>
          <w:rFonts w:ascii="Calibri Light" w:hAnsi="Calibri Light" w:cs="Calibri Light"/>
          <w:i/>
          <w:iCs/>
          <w:color w:val="2F5496"/>
          <w:sz w:val="22"/>
          <w:szCs w:val="22"/>
        </w:rPr>
        <w:t xml:space="preserve"> </w:t>
      </w:r>
      <w:r>
        <w:rPr>
          <w:rStyle w:val="normaltextrun"/>
          <w:rFonts w:ascii="Calibri Light" w:hAnsi="Calibri Light" w:cs="Calibri Light"/>
          <w:color w:val="2F5496"/>
          <w:sz w:val="22"/>
          <w:szCs w:val="22"/>
        </w:rPr>
        <w:t>Safety grade versus robustness elucidates a positive correlation. This means that as robustness, or the ability of hospitals to report their data, improves, then their safety grade improves as well. </w:t>
      </w:r>
      <w:r>
        <w:rPr>
          <w:rStyle w:val="eop"/>
          <w:rFonts w:ascii="Calibri Light" w:eastAsiaTheme="majorEastAsia" w:hAnsi="Calibri Light" w:cs="Calibri Light"/>
          <w:color w:val="2F5496"/>
          <w:sz w:val="22"/>
          <w:szCs w:val="22"/>
        </w:rPr>
        <w:t> </w:t>
      </w:r>
    </w:p>
    <w:p w14:paraId="17E6EF5B" w14:textId="48049B1E" w:rsidR="008A3560" w:rsidRPr="00E74A79" w:rsidRDefault="007F4B12" w:rsidP="00E74A79">
      <w:pPr>
        <w:spacing w:after="0" w:line="240" w:lineRule="auto"/>
        <w:textAlignment w:val="baseline"/>
        <w:rPr>
          <w:rStyle w:val="Heading1Char"/>
          <w:rFonts w:ascii="Times New Roman" w:eastAsia="Times New Roman" w:hAnsi="Times New Roman" w:cs="Times New Roman"/>
          <w:color w:val="000000"/>
          <w:sz w:val="24"/>
          <w:szCs w:val="24"/>
        </w:rPr>
      </w:pPr>
      <w:r w:rsidRPr="007F4B12">
        <w:rPr>
          <w:rFonts w:ascii="Times New Roman" w:eastAsia="Times New Roman" w:hAnsi="Times New Roman" w:cs="Times New Roman"/>
          <w:color w:val="000000"/>
          <w:sz w:val="24"/>
          <w:szCs w:val="24"/>
        </w:rPr>
        <w:t> </w:t>
      </w:r>
    </w:p>
    <w:p w14:paraId="41EEC1CB" w14:textId="77777777" w:rsidR="008C5F20" w:rsidRDefault="009557B1" w:rsidP="00E74A79">
      <w:pPr>
        <w:pStyle w:val="paragraph"/>
        <w:spacing w:before="0" w:beforeAutospacing="0" w:after="0" w:afterAutospacing="0" w:line="276" w:lineRule="auto"/>
        <w:textAlignment w:val="baseline"/>
        <w:rPr>
          <w:rStyle w:val="scxw115178173"/>
          <w:rFonts w:eastAsiaTheme="majorEastAsia"/>
          <w:color w:val="000000"/>
          <w:sz w:val="40"/>
          <w:szCs w:val="40"/>
        </w:rPr>
      </w:pPr>
      <w:bookmarkStart w:id="131" w:name="_Toc102048603"/>
      <w:r w:rsidRPr="009557B1">
        <w:rPr>
          <w:rStyle w:val="Heading1Char"/>
          <w:sz w:val="40"/>
          <w:szCs w:val="40"/>
        </w:rPr>
        <w:t>Chapter 5: Discussion</w:t>
      </w:r>
      <w:bookmarkEnd w:id="131"/>
      <w:r>
        <w:rPr>
          <w:rStyle w:val="normaltextrun"/>
          <w:color w:val="000000"/>
          <w:sz w:val="40"/>
          <w:szCs w:val="40"/>
        </w:rPr>
        <w:t xml:space="preserve"> </w:t>
      </w:r>
      <w:r>
        <w:rPr>
          <w:rStyle w:val="scxw115178173"/>
          <w:rFonts w:eastAsiaTheme="majorEastAsia"/>
          <w:color w:val="000000"/>
          <w:sz w:val="40"/>
          <w:szCs w:val="40"/>
        </w:rPr>
        <w:t> </w:t>
      </w:r>
    </w:p>
    <w:p w14:paraId="31E6E706" w14:textId="6929F5EB" w:rsidR="009557B1" w:rsidRDefault="009557B1" w:rsidP="002C086D">
      <w:pPr>
        <w:pStyle w:val="paragraph"/>
        <w:spacing w:before="0" w:beforeAutospacing="0" w:after="0" w:afterAutospacing="0" w:line="276" w:lineRule="auto"/>
        <w:ind w:firstLine="360"/>
        <w:textAlignment w:val="baseline"/>
        <w:rPr>
          <w:rFonts w:ascii="Segoe UI" w:hAnsi="Segoe UI" w:cs="Segoe UI"/>
          <w:sz w:val="18"/>
          <w:szCs w:val="18"/>
        </w:rPr>
      </w:pPr>
      <w:r>
        <w:rPr>
          <w:rStyle w:val="normaltextrun"/>
        </w:rPr>
        <w:t>The focus of this project was to establish whether there was a relationship between the culture of safety within the workplace and overall patient safety. Through a two-step approach, we created a dataset that represents both the occupational safety, as well as patient safety of hospitals located in New York state. From there, we were able to paint a picture of the safety culture of each hospital, allowing a comparison between their occupational and patient safety.</w:t>
      </w:r>
      <w:r>
        <w:rPr>
          <w:rStyle w:val="eop"/>
        </w:rPr>
        <w:t> </w:t>
      </w:r>
    </w:p>
    <w:p w14:paraId="02399212" w14:textId="41D70808" w:rsidR="009557B1" w:rsidRDefault="009557B1" w:rsidP="00E74A79">
      <w:pPr>
        <w:pStyle w:val="paragraph"/>
        <w:spacing w:before="0" w:beforeAutospacing="0" w:after="0" w:afterAutospacing="0" w:line="276" w:lineRule="auto"/>
        <w:textAlignment w:val="baseline"/>
        <w:rPr>
          <w:rStyle w:val="eop"/>
        </w:rPr>
      </w:pPr>
      <w:r>
        <w:rPr>
          <w:rStyle w:val="normaltextrun"/>
        </w:rPr>
        <w:t xml:space="preserve">Overall, we found that our hypothesis was unable to be proven based on the data we collected. Based on the data sets, there was no direct correlation between patient and occupational safety, however, we found a correlation between the culture of safety and hospital size. There was a positive correlation between the hospital size and patient safety. </w:t>
      </w:r>
      <w:r>
        <w:rPr>
          <w:rStyle w:val="eop"/>
        </w:rPr>
        <w:t> </w:t>
      </w:r>
    </w:p>
    <w:p w14:paraId="715BE5FB" w14:textId="77777777" w:rsidR="002C086D" w:rsidRDefault="002C086D" w:rsidP="00E74A79">
      <w:pPr>
        <w:pStyle w:val="paragraph"/>
        <w:spacing w:before="0" w:beforeAutospacing="0" w:after="0" w:afterAutospacing="0" w:line="276" w:lineRule="auto"/>
        <w:textAlignment w:val="baseline"/>
        <w:rPr>
          <w:rFonts w:ascii="Segoe UI" w:hAnsi="Segoe UI" w:cs="Segoe UI"/>
          <w:sz w:val="18"/>
          <w:szCs w:val="18"/>
        </w:rPr>
      </w:pPr>
    </w:p>
    <w:p w14:paraId="75A57B8D" w14:textId="0B3A2E74" w:rsidR="009557B1" w:rsidRDefault="009557B1" w:rsidP="002C086D">
      <w:pPr>
        <w:pStyle w:val="paragraph"/>
        <w:spacing w:before="0" w:beforeAutospacing="0" w:after="0" w:afterAutospacing="0" w:line="276" w:lineRule="auto"/>
        <w:ind w:firstLine="180"/>
        <w:textAlignment w:val="baseline"/>
        <w:rPr>
          <w:rStyle w:val="eop"/>
        </w:rPr>
      </w:pPr>
      <w:r>
        <w:rPr>
          <w:rStyle w:val="normaltextrun"/>
        </w:rPr>
        <w:t xml:space="preserve">When standardized, we found that hospitals that reported their data were more likely to have </w:t>
      </w:r>
      <w:r w:rsidR="008A3560">
        <w:rPr>
          <w:rStyle w:val="normaltextrun"/>
        </w:rPr>
        <w:t>been</w:t>
      </w:r>
      <w:r>
        <w:rPr>
          <w:rStyle w:val="normaltextrun"/>
        </w:rPr>
        <w:t xml:space="preserve"> more likely increased safety grades. In the Medicare data that the patient outcomes were based on, some of the values did not contain records of patient outcomes indicating hospitals were not reporting on common procedures. This was indicative that increased quality of safety in hospital work environments is directly correlated to the hospital's quality of reporting their quality of patient care. Essentially, if hospitals put more emphasis on reporting their data, they are more likely to have an increased culture of safety. Plausible explanations as to why this could be occurring in some hospitals and not others could be access to monetary resources, effective management, and increased worker interactions. These factors were not included in our data set, as they are qualitative factors, and our study focused mainly on quantitatively accessing a culture of safety. Despite not being included in our studies, these qualitative factors are very likely to be impacting safety scores as they also make a significant impact. Overall, our data was indicative </w:t>
      </w:r>
      <w:r>
        <w:rPr>
          <w:rStyle w:val="normaltextrun"/>
        </w:rPr>
        <w:lastRenderedPageBreak/>
        <w:t xml:space="preserve">that larger hospitals were more likely to report data on patient care, which was ultimately correlated to a higher level of safety in these institutions. </w:t>
      </w:r>
      <w:r>
        <w:rPr>
          <w:rStyle w:val="eop"/>
        </w:rPr>
        <w:t> </w:t>
      </w:r>
    </w:p>
    <w:p w14:paraId="5214DBF3" w14:textId="77777777" w:rsidR="00F7591A" w:rsidRDefault="00F7591A" w:rsidP="002C086D">
      <w:pPr>
        <w:pStyle w:val="paragraph"/>
        <w:spacing w:before="0" w:beforeAutospacing="0" w:after="0" w:afterAutospacing="0" w:line="276" w:lineRule="auto"/>
        <w:ind w:firstLine="180"/>
        <w:textAlignment w:val="baseline"/>
        <w:rPr>
          <w:rFonts w:ascii="Segoe UI" w:hAnsi="Segoe UI" w:cs="Segoe UI"/>
          <w:sz w:val="18"/>
          <w:szCs w:val="18"/>
        </w:rPr>
      </w:pPr>
    </w:p>
    <w:p w14:paraId="55C43E41" w14:textId="48A1B077" w:rsidR="009557B1" w:rsidRPr="00F7591A" w:rsidRDefault="009557B1" w:rsidP="00F7591A">
      <w:pPr>
        <w:pStyle w:val="paragraph"/>
        <w:spacing w:before="0" w:beforeAutospacing="0" w:after="0" w:afterAutospacing="0" w:line="276" w:lineRule="auto"/>
        <w:ind w:firstLine="180"/>
        <w:textAlignment w:val="baseline"/>
        <w:rPr>
          <w:rStyle w:val="eop"/>
          <w:rFonts w:ascii="Segoe UI" w:hAnsi="Segoe UI" w:cs="Segoe UI"/>
          <w:sz w:val="18"/>
          <w:szCs w:val="18"/>
        </w:rPr>
      </w:pPr>
      <w:r>
        <w:rPr>
          <w:rStyle w:val="normaltextrun"/>
        </w:rPr>
        <w:t>Further research can be focused on understanding why this occurrence occurs. Previous studies, such as ones done by the ECRI, have indicated how to create an effective culture of safety, as well as policies that can be put in place to improve it. To determine what factors are decreasing the culture of safety in smaller hospitals and increasing it in larger hospitals, further research can compare qualitative factors, such as policies or access to resources, to determine correlation. From there, further recommendations can be created to help increase culture of safety, with a focus increasing a culture of safety in small hospitals and maintaining them in larger hospitals.</w:t>
      </w:r>
      <w:r>
        <w:rPr>
          <w:rStyle w:val="eop"/>
        </w:rPr>
        <w:t> </w:t>
      </w:r>
      <w:r>
        <w:rPr>
          <w:rStyle w:val="normaltextrun"/>
        </w:rPr>
        <w:t xml:space="preserve">In terms of our own research, the lessons learned from assessing the culture of safety in hospital environments can also be applied to laboratory environments. As biochemistry students who work consistently in research laboratories, understanding how to create an effective culture of safety is important for maintaining both our safety, the safety of others, and success in our research endeavors. Maintaining a culture of safety in a laboratory environment is like that of a medical environment. It’s important to provide a quantitative assessment of accidents that occur and identify sources of occupational hazards. In doing so, one can maintain a culture of safety, ensuring the quality of life for researchers and overall research. Taken together, “you are what you measure,” is the main takeaway and one to bring in all future workplace environments. </w:t>
      </w:r>
      <w:r>
        <w:rPr>
          <w:rStyle w:val="eop"/>
        </w:rPr>
        <w:t> </w:t>
      </w:r>
    </w:p>
    <w:p w14:paraId="5C5BB6B6" w14:textId="457D5DA7" w:rsidR="0085293E" w:rsidRDefault="0085293E" w:rsidP="009557B1">
      <w:pPr>
        <w:pStyle w:val="paragraph"/>
        <w:spacing w:before="0" w:beforeAutospacing="0" w:after="0" w:afterAutospacing="0"/>
        <w:textAlignment w:val="baseline"/>
        <w:rPr>
          <w:rStyle w:val="eop"/>
        </w:rPr>
      </w:pPr>
    </w:p>
    <w:p w14:paraId="15A522D9" w14:textId="3AF533D6" w:rsidR="00E1302D" w:rsidRDefault="00E1302D" w:rsidP="004A0CF0">
      <w:pPr>
        <w:pStyle w:val="Heading1"/>
        <w:rPr>
          <w:rFonts w:eastAsia="Times New Roman"/>
          <w:sz w:val="40"/>
          <w:szCs w:val="40"/>
        </w:rPr>
      </w:pPr>
    </w:p>
    <w:p w14:paraId="6BD259DA" w14:textId="7FCDFA7A" w:rsidR="00E74A79" w:rsidRDefault="00E74A79" w:rsidP="00E74A79"/>
    <w:p w14:paraId="1C0F04F2" w14:textId="073D7DAD" w:rsidR="00E74A79" w:rsidRDefault="00E74A79" w:rsidP="00E74A79"/>
    <w:p w14:paraId="5D0B0D71" w14:textId="0C0F9FB7" w:rsidR="00E74A79" w:rsidRDefault="00E74A79" w:rsidP="00E74A79"/>
    <w:p w14:paraId="4E6EE607" w14:textId="0F7B7D60" w:rsidR="00E74A79" w:rsidRDefault="00E74A79" w:rsidP="00E74A79"/>
    <w:p w14:paraId="0F8595C2" w14:textId="12CEEAB4" w:rsidR="00E74A79" w:rsidRDefault="00E74A79" w:rsidP="00E74A79"/>
    <w:p w14:paraId="270EA9D9" w14:textId="7896B4FB" w:rsidR="00E74A79" w:rsidRDefault="00E74A79" w:rsidP="00E74A79"/>
    <w:p w14:paraId="48AA0881" w14:textId="3E151880" w:rsidR="00E74A79" w:rsidRDefault="00E74A79" w:rsidP="00E74A79"/>
    <w:p w14:paraId="4A59C5F5" w14:textId="710C3193" w:rsidR="00E74A79" w:rsidRDefault="00E74A79" w:rsidP="00E74A79"/>
    <w:p w14:paraId="7BD6D1FB" w14:textId="7B427481" w:rsidR="00E74A79" w:rsidRDefault="00E74A79" w:rsidP="00E74A79"/>
    <w:p w14:paraId="3F7C6F7A" w14:textId="23CD637A" w:rsidR="00E74A79" w:rsidRDefault="00E74A79" w:rsidP="00E74A79"/>
    <w:p w14:paraId="196E1617" w14:textId="2F5230DF" w:rsidR="00E74A79" w:rsidRDefault="00E74A79" w:rsidP="00E74A79"/>
    <w:p w14:paraId="031ABFD6" w14:textId="6C1AC8AE" w:rsidR="00E1302D" w:rsidRDefault="00E1302D" w:rsidP="00E1302D"/>
    <w:p w14:paraId="473606E7" w14:textId="255E449D" w:rsidR="004A0CF0" w:rsidRPr="00CB7684" w:rsidRDefault="0085293E" w:rsidP="004A0CF0">
      <w:pPr>
        <w:pStyle w:val="Heading1"/>
        <w:rPr>
          <w:rFonts w:ascii="Segoe UI" w:eastAsia="Times New Roman" w:hAnsi="Segoe UI" w:cs="Segoe UI"/>
          <w:sz w:val="40"/>
          <w:szCs w:val="40"/>
        </w:rPr>
      </w:pPr>
      <w:bookmarkStart w:id="132" w:name="_Toc102048604"/>
      <w:r w:rsidRPr="004E08F4">
        <w:rPr>
          <w:rFonts w:eastAsia="Times New Roman"/>
          <w:sz w:val="40"/>
          <w:szCs w:val="40"/>
        </w:rPr>
        <w:lastRenderedPageBreak/>
        <w:t>References</w:t>
      </w:r>
      <w:bookmarkEnd w:id="132"/>
    </w:p>
    <w:p w14:paraId="7EB397D1" w14:textId="77777777" w:rsidR="004A0CF0" w:rsidRPr="0085293E" w:rsidRDefault="004A0CF0" w:rsidP="004E08F4">
      <w:pPr>
        <w:spacing w:after="0" w:line="240" w:lineRule="auto"/>
        <w:ind w:left="555"/>
        <w:textAlignment w:val="baseline"/>
        <w:rPr>
          <w:rStyle w:val="eop"/>
          <w:rFonts w:ascii="Segoe UI" w:eastAsia="Times New Roman" w:hAnsi="Segoe UI" w:cs="Segoe UI"/>
          <w:sz w:val="18"/>
          <w:szCs w:val="18"/>
        </w:rPr>
      </w:pPr>
    </w:p>
    <w:p w14:paraId="4AD42D34" w14:textId="77777777" w:rsidR="004A0CF0" w:rsidRDefault="004A0CF0" w:rsidP="00E514CC">
      <w:pPr>
        <w:spacing w:after="0" w:line="240" w:lineRule="auto"/>
        <w:ind w:left="555" w:hanging="555"/>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sz w:val="24"/>
          <w:szCs w:val="24"/>
        </w:rPr>
        <w:t>American Hospital Directory - Individual Hospital statistics for New York. (n.d.). Retrieved April 26, 2022, from https://www.ahd.com/states/hospital_NY.html  </w:t>
      </w:r>
    </w:p>
    <w:p w14:paraId="48D6FC88" w14:textId="77777777" w:rsidR="004A0CF0" w:rsidRPr="00CB7684" w:rsidRDefault="004A0CF0" w:rsidP="00E514CC">
      <w:pPr>
        <w:spacing w:after="0" w:line="240" w:lineRule="auto"/>
        <w:ind w:left="720" w:hanging="720"/>
        <w:textAlignment w:val="baseline"/>
        <w:rPr>
          <w:rFonts w:ascii="Segoe UI" w:eastAsia="Times New Roman" w:hAnsi="Segoe UI" w:cs="Segoe UI"/>
          <w:sz w:val="18"/>
          <w:szCs w:val="18"/>
        </w:rPr>
      </w:pPr>
      <w:r w:rsidRPr="00CB7684">
        <w:rPr>
          <w:rFonts w:ascii="Times New Roman" w:eastAsia="Times New Roman" w:hAnsi="Times New Roman" w:cs="Times New Roman"/>
          <w:color w:val="000000"/>
        </w:rPr>
        <w:t xml:space="preserve">C E B. (1985). Occupational hazards to hospital personnel. </w:t>
      </w:r>
      <w:r w:rsidRPr="00CB7684">
        <w:rPr>
          <w:rFonts w:ascii="Times New Roman" w:eastAsia="Times New Roman" w:hAnsi="Times New Roman" w:cs="Times New Roman"/>
          <w:i/>
          <w:iCs/>
          <w:color w:val="000000"/>
        </w:rPr>
        <w:t>Journal of Occupational and Environmental Medicine</w:t>
      </w:r>
      <w:r w:rsidRPr="00CB7684">
        <w:rPr>
          <w:rFonts w:ascii="Times New Roman" w:eastAsia="Times New Roman" w:hAnsi="Times New Roman" w:cs="Times New Roman"/>
          <w:color w:val="000000"/>
        </w:rPr>
        <w:t xml:space="preserve">, </w:t>
      </w:r>
      <w:r w:rsidRPr="00CB7684">
        <w:rPr>
          <w:rFonts w:ascii="Times New Roman" w:eastAsia="Times New Roman" w:hAnsi="Times New Roman" w:cs="Times New Roman"/>
          <w:i/>
          <w:iCs/>
          <w:color w:val="000000"/>
        </w:rPr>
        <w:t>27</w:t>
      </w:r>
      <w:r w:rsidRPr="00CB7684">
        <w:rPr>
          <w:rFonts w:ascii="Times New Roman" w:eastAsia="Times New Roman" w:hAnsi="Times New Roman" w:cs="Times New Roman"/>
          <w:color w:val="000000"/>
        </w:rPr>
        <w:t xml:space="preserve">(11), 850. </w:t>
      </w:r>
      <w:hyperlink r:id="rId46" w:tgtFrame="_blank" w:history="1">
        <w:r w:rsidRPr="00CB7684">
          <w:rPr>
            <w:rFonts w:ascii="Times New Roman" w:eastAsia="Times New Roman" w:hAnsi="Times New Roman" w:cs="Times New Roman"/>
            <w:color w:val="0563C1"/>
            <w:u w:val="single"/>
          </w:rPr>
          <w:t>https://doi.org/10.1097/00043764-198511000-00021</w:t>
        </w:r>
      </w:hyperlink>
      <w:r w:rsidRPr="00CB7684">
        <w:rPr>
          <w:rFonts w:ascii="Times New Roman" w:eastAsia="Times New Roman" w:hAnsi="Times New Roman" w:cs="Times New Roman"/>
          <w:color w:val="000000"/>
        </w:rPr>
        <w:t>  </w:t>
      </w:r>
    </w:p>
    <w:p w14:paraId="7AA2C2AC" w14:textId="77777777" w:rsidR="004A0CF0" w:rsidRPr="00CB7684" w:rsidRDefault="004A0CF0" w:rsidP="00343251">
      <w:pPr>
        <w:spacing w:after="0" w:line="240" w:lineRule="auto"/>
        <w:ind w:left="720" w:hanging="720"/>
        <w:textAlignment w:val="baseline"/>
        <w:rPr>
          <w:rFonts w:ascii="Segoe UI" w:eastAsia="Times New Roman" w:hAnsi="Segoe UI" w:cs="Segoe UI"/>
          <w:sz w:val="18"/>
          <w:szCs w:val="18"/>
        </w:rPr>
      </w:pPr>
      <w:r w:rsidRPr="00CB7684">
        <w:rPr>
          <w:rFonts w:ascii="Times New Roman" w:eastAsia="Times New Roman" w:hAnsi="Times New Roman" w:cs="Times New Roman"/>
          <w:color w:val="000000"/>
        </w:rPr>
        <w:t xml:space="preserve">da Silva, S. L., &amp; Amaral, F. G. (2019). Critical factors of success and barriers to the implementation of occupational health and Safety Management Systems: A systematic review of literature. </w:t>
      </w:r>
      <w:r w:rsidRPr="00CB7684">
        <w:rPr>
          <w:rFonts w:ascii="Times New Roman" w:eastAsia="Times New Roman" w:hAnsi="Times New Roman" w:cs="Times New Roman"/>
          <w:i/>
          <w:iCs/>
          <w:color w:val="000000"/>
        </w:rPr>
        <w:t>Safety Science</w:t>
      </w:r>
      <w:r w:rsidRPr="00CB7684">
        <w:rPr>
          <w:rFonts w:ascii="Times New Roman" w:eastAsia="Times New Roman" w:hAnsi="Times New Roman" w:cs="Times New Roman"/>
          <w:color w:val="000000"/>
        </w:rPr>
        <w:t xml:space="preserve">, </w:t>
      </w:r>
      <w:r w:rsidRPr="00CB7684">
        <w:rPr>
          <w:rFonts w:ascii="Times New Roman" w:eastAsia="Times New Roman" w:hAnsi="Times New Roman" w:cs="Times New Roman"/>
          <w:i/>
          <w:iCs/>
          <w:color w:val="000000"/>
        </w:rPr>
        <w:t>117</w:t>
      </w:r>
      <w:r w:rsidRPr="00CB7684">
        <w:rPr>
          <w:rFonts w:ascii="Times New Roman" w:eastAsia="Times New Roman" w:hAnsi="Times New Roman" w:cs="Times New Roman"/>
          <w:color w:val="000000"/>
        </w:rPr>
        <w:t xml:space="preserve">, 123–132. </w:t>
      </w:r>
      <w:hyperlink r:id="rId47" w:tgtFrame="_blank" w:history="1">
        <w:r w:rsidRPr="00CB7684">
          <w:rPr>
            <w:rFonts w:ascii="Times New Roman" w:eastAsia="Times New Roman" w:hAnsi="Times New Roman" w:cs="Times New Roman"/>
            <w:color w:val="0563C1"/>
            <w:u w:val="single"/>
          </w:rPr>
          <w:t>https://doi.org/10.1016/j.ssci.2019.03.026</w:t>
        </w:r>
      </w:hyperlink>
      <w:r w:rsidRPr="00CB7684">
        <w:rPr>
          <w:rFonts w:ascii="Times New Roman" w:eastAsia="Times New Roman" w:hAnsi="Times New Roman" w:cs="Times New Roman"/>
          <w:color w:val="000000"/>
        </w:rPr>
        <w:t> </w:t>
      </w:r>
    </w:p>
    <w:p w14:paraId="51133572" w14:textId="77777777" w:rsidR="004A0CF0" w:rsidRDefault="004A0CF0" w:rsidP="00E514CC">
      <w:pPr>
        <w:spacing w:after="0" w:line="240" w:lineRule="auto"/>
        <w:ind w:left="555" w:hanging="555"/>
        <w:textAlignment w:val="baseline"/>
        <w:rPr>
          <w:rFonts w:ascii="Segoe UI" w:eastAsia="Times New Roman" w:hAnsi="Segoe UI" w:cs="Segoe UI"/>
          <w:sz w:val="18"/>
          <w:szCs w:val="18"/>
        </w:rPr>
      </w:pPr>
      <w:r w:rsidRPr="00CB7684">
        <w:rPr>
          <w:rFonts w:ascii="Times New Roman" w:eastAsia="Times New Roman" w:hAnsi="Times New Roman" w:cs="Times New Roman"/>
          <w:i/>
          <w:iCs/>
          <w:color w:val="000000"/>
        </w:rPr>
        <w:t>Department of Labor Logo United States department of Labor</w:t>
      </w:r>
      <w:r w:rsidRPr="00CB7684">
        <w:rPr>
          <w:rFonts w:ascii="Times New Roman" w:eastAsia="Times New Roman" w:hAnsi="Times New Roman" w:cs="Times New Roman"/>
          <w:color w:val="000000"/>
        </w:rPr>
        <w:t xml:space="preserve">. Safety Management - Hazard Identification and Assessment | Occupational Safety and Health Administration. (n.d.). Retrieved April 20, 2022, from </w:t>
      </w:r>
      <w:hyperlink r:id="rId48" w:tgtFrame="_blank" w:history="1">
        <w:r w:rsidRPr="00CB7684">
          <w:rPr>
            <w:rFonts w:ascii="Times New Roman" w:eastAsia="Times New Roman" w:hAnsi="Times New Roman" w:cs="Times New Roman"/>
            <w:color w:val="0563C1"/>
            <w:u w:val="single"/>
          </w:rPr>
          <w:t>https://www.osha.gov/safety-management/hazard-Identification</w:t>
        </w:r>
      </w:hyperlink>
      <w:r w:rsidRPr="00CB7684">
        <w:rPr>
          <w:rFonts w:ascii="Times New Roman" w:eastAsia="Times New Roman" w:hAnsi="Times New Roman" w:cs="Times New Roman"/>
          <w:color w:val="000000"/>
        </w:rPr>
        <w:t>  </w:t>
      </w:r>
    </w:p>
    <w:p w14:paraId="68F64515" w14:textId="77777777" w:rsidR="004A0CF0" w:rsidRPr="00CB7684" w:rsidRDefault="004A0CF0" w:rsidP="00E514CC">
      <w:pPr>
        <w:spacing w:after="0" w:line="240" w:lineRule="auto"/>
        <w:ind w:left="720" w:hanging="720"/>
        <w:textAlignment w:val="baseline"/>
        <w:rPr>
          <w:rFonts w:ascii="Segoe UI" w:eastAsia="Times New Roman" w:hAnsi="Segoe UI" w:cs="Segoe UI"/>
          <w:sz w:val="18"/>
          <w:szCs w:val="18"/>
        </w:rPr>
      </w:pPr>
      <w:r w:rsidRPr="00CB7684">
        <w:rPr>
          <w:rFonts w:ascii="Times New Roman" w:eastAsia="Times New Roman" w:hAnsi="Times New Roman" w:cs="Times New Roman"/>
          <w:color w:val="000000"/>
        </w:rPr>
        <w:t>ECRI. Culture of safety: an overview. Health Syst Risk Manage</w:t>
      </w:r>
      <w:r w:rsidRPr="00CB7684">
        <w:rPr>
          <w:rFonts w:ascii="Times New Roman" w:eastAsia="Times New Roman" w:hAnsi="Times New Roman" w:cs="Times New Roman"/>
          <w:i/>
          <w:iCs/>
          <w:color w:val="000000"/>
        </w:rPr>
        <w:t xml:space="preserve"> </w:t>
      </w:r>
      <w:r w:rsidRPr="00CB7684">
        <w:rPr>
          <w:rFonts w:ascii="Times New Roman" w:eastAsia="Times New Roman" w:hAnsi="Times New Roman" w:cs="Times New Roman"/>
          <w:color w:val="000000"/>
        </w:rPr>
        <w:t>2019 Jun 14. </w:t>
      </w:r>
    </w:p>
    <w:p w14:paraId="4AC51B55" w14:textId="77777777" w:rsidR="004A0CF0" w:rsidRPr="00CB7684" w:rsidRDefault="004A0CF0" w:rsidP="00E514CC">
      <w:pPr>
        <w:spacing w:after="0" w:line="240" w:lineRule="auto"/>
        <w:ind w:left="720" w:hanging="720"/>
        <w:textAlignment w:val="baseline"/>
        <w:rPr>
          <w:rFonts w:ascii="Segoe UI" w:eastAsia="Times New Roman" w:hAnsi="Segoe UI" w:cs="Segoe UI"/>
          <w:sz w:val="18"/>
          <w:szCs w:val="18"/>
        </w:rPr>
      </w:pPr>
      <w:r w:rsidRPr="00CB7684">
        <w:rPr>
          <w:rFonts w:ascii="Times New Roman" w:eastAsia="Times New Roman" w:hAnsi="Times New Roman" w:cs="Times New Roman"/>
          <w:color w:val="000000"/>
        </w:rPr>
        <w:t xml:space="preserve">Fleisher, L. A., Schreiber, M., Cardo, D., &amp; Srinivasan, A. (2022). Health Care Safety during the pandemic and beyond — building a system that ensures resilience. </w:t>
      </w:r>
      <w:r w:rsidRPr="00CB7684">
        <w:rPr>
          <w:rFonts w:ascii="Times New Roman" w:eastAsia="Times New Roman" w:hAnsi="Times New Roman" w:cs="Times New Roman"/>
          <w:i/>
          <w:iCs/>
          <w:color w:val="000000"/>
        </w:rPr>
        <w:t>New England Journal of Medicine</w:t>
      </w:r>
      <w:r w:rsidRPr="00CB7684">
        <w:rPr>
          <w:rFonts w:ascii="Times New Roman" w:eastAsia="Times New Roman" w:hAnsi="Times New Roman" w:cs="Times New Roman"/>
          <w:color w:val="000000"/>
        </w:rPr>
        <w:t xml:space="preserve">, </w:t>
      </w:r>
      <w:r w:rsidRPr="00CB7684">
        <w:rPr>
          <w:rFonts w:ascii="Times New Roman" w:eastAsia="Times New Roman" w:hAnsi="Times New Roman" w:cs="Times New Roman"/>
          <w:i/>
          <w:iCs/>
          <w:color w:val="000000"/>
        </w:rPr>
        <w:t>386</w:t>
      </w:r>
      <w:r w:rsidRPr="00CB7684">
        <w:rPr>
          <w:rFonts w:ascii="Times New Roman" w:eastAsia="Times New Roman" w:hAnsi="Times New Roman" w:cs="Times New Roman"/>
          <w:color w:val="000000"/>
        </w:rPr>
        <w:t xml:space="preserve">(7), 609–611. </w:t>
      </w:r>
      <w:hyperlink r:id="rId49" w:tgtFrame="_blank" w:history="1">
        <w:r w:rsidRPr="00CB7684">
          <w:rPr>
            <w:rFonts w:ascii="Times New Roman" w:eastAsia="Times New Roman" w:hAnsi="Times New Roman" w:cs="Times New Roman"/>
            <w:color w:val="0563C1"/>
            <w:u w:val="single"/>
          </w:rPr>
          <w:t>https://doi.org/10.1056/nejmp2118285</w:t>
        </w:r>
      </w:hyperlink>
      <w:r w:rsidRPr="00CB7684">
        <w:rPr>
          <w:rFonts w:ascii="Times New Roman" w:eastAsia="Times New Roman" w:hAnsi="Times New Roman" w:cs="Times New Roman"/>
          <w:color w:val="000000"/>
        </w:rPr>
        <w:t>  </w:t>
      </w:r>
    </w:p>
    <w:p w14:paraId="06B66A84" w14:textId="77777777" w:rsidR="004A0CF0" w:rsidRPr="00CB7684" w:rsidRDefault="004A0CF0" w:rsidP="00E514CC">
      <w:pPr>
        <w:spacing w:after="0" w:line="240" w:lineRule="auto"/>
        <w:ind w:left="720" w:hanging="720"/>
        <w:textAlignment w:val="baseline"/>
        <w:rPr>
          <w:rFonts w:ascii="Segoe UI" w:eastAsia="Times New Roman" w:hAnsi="Segoe UI" w:cs="Segoe UI"/>
          <w:sz w:val="18"/>
          <w:szCs w:val="18"/>
        </w:rPr>
      </w:pPr>
      <w:proofErr w:type="spellStart"/>
      <w:r w:rsidRPr="00CB7684">
        <w:rPr>
          <w:rFonts w:ascii="Times New Roman" w:eastAsia="Times New Roman" w:hAnsi="Times New Roman" w:cs="Times New Roman"/>
          <w:color w:val="000000"/>
        </w:rPr>
        <w:t>Guldenmund</w:t>
      </w:r>
      <w:proofErr w:type="spellEnd"/>
      <w:r w:rsidRPr="00CB7684">
        <w:rPr>
          <w:rFonts w:ascii="Times New Roman" w:eastAsia="Times New Roman" w:hAnsi="Times New Roman" w:cs="Times New Roman"/>
          <w:color w:val="000000"/>
        </w:rPr>
        <w:t xml:space="preserve">, F. W. (2000). The nature of safety culture: A review of theory and research. </w:t>
      </w:r>
      <w:r w:rsidRPr="00CB7684">
        <w:rPr>
          <w:rFonts w:ascii="Times New Roman" w:eastAsia="Times New Roman" w:hAnsi="Times New Roman" w:cs="Times New Roman"/>
          <w:i/>
          <w:iCs/>
          <w:color w:val="000000"/>
        </w:rPr>
        <w:t>Safety Science</w:t>
      </w:r>
      <w:r w:rsidRPr="00CB7684">
        <w:rPr>
          <w:rFonts w:ascii="Times New Roman" w:eastAsia="Times New Roman" w:hAnsi="Times New Roman" w:cs="Times New Roman"/>
          <w:color w:val="000000"/>
        </w:rPr>
        <w:t xml:space="preserve">, </w:t>
      </w:r>
      <w:r w:rsidRPr="00CB7684">
        <w:rPr>
          <w:rFonts w:ascii="Times New Roman" w:eastAsia="Times New Roman" w:hAnsi="Times New Roman" w:cs="Times New Roman"/>
          <w:i/>
          <w:iCs/>
          <w:color w:val="000000"/>
        </w:rPr>
        <w:t>34</w:t>
      </w:r>
      <w:r w:rsidRPr="00CB7684">
        <w:rPr>
          <w:rFonts w:ascii="Times New Roman" w:eastAsia="Times New Roman" w:hAnsi="Times New Roman" w:cs="Times New Roman"/>
          <w:color w:val="000000"/>
        </w:rPr>
        <w:t xml:space="preserve">(1-3), 215–257. </w:t>
      </w:r>
      <w:hyperlink r:id="rId50" w:tgtFrame="_blank" w:history="1">
        <w:r w:rsidRPr="00CB7684">
          <w:rPr>
            <w:rFonts w:ascii="Times New Roman" w:eastAsia="Times New Roman" w:hAnsi="Times New Roman" w:cs="Times New Roman"/>
            <w:color w:val="0563C1"/>
            <w:u w:val="single"/>
          </w:rPr>
          <w:t>https://doi.org/10.1016/s0925-7535(00)00014-x</w:t>
        </w:r>
      </w:hyperlink>
      <w:r w:rsidRPr="00CB7684">
        <w:rPr>
          <w:rFonts w:ascii="Times New Roman" w:eastAsia="Times New Roman" w:hAnsi="Times New Roman" w:cs="Times New Roman"/>
          <w:color w:val="000000"/>
        </w:rPr>
        <w:t>  </w:t>
      </w:r>
    </w:p>
    <w:p w14:paraId="1F210D3E" w14:textId="77777777" w:rsidR="004A0CF0" w:rsidRPr="00CB7684" w:rsidRDefault="004A0CF0" w:rsidP="00E514CC">
      <w:pPr>
        <w:spacing w:after="0" w:line="240" w:lineRule="auto"/>
        <w:ind w:left="720" w:hanging="720"/>
        <w:textAlignment w:val="baseline"/>
        <w:rPr>
          <w:rFonts w:ascii="Segoe UI" w:eastAsia="Times New Roman" w:hAnsi="Segoe UI" w:cs="Segoe UI"/>
          <w:sz w:val="18"/>
          <w:szCs w:val="18"/>
        </w:rPr>
      </w:pPr>
      <w:r w:rsidRPr="00CB7684">
        <w:rPr>
          <w:rFonts w:ascii="Times New Roman" w:eastAsia="Times New Roman" w:hAnsi="Times New Roman" w:cs="Times New Roman"/>
          <w:color w:val="000000"/>
        </w:rPr>
        <w:t xml:space="preserve"> Han, Y., Kim, J.-S., &amp; </w:t>
      </w:r>
      <w:proofErr w:type="spellStart"/>
      <w:r w:rsidRPr="00CB7684">
        <w:rPr>
          <w:rFonts w:ascii="Times New Roman" w:eastAsia="Times New Roman" w:hAnsi="Times New Roman" w:cs="Times New Roman"/>
          <w:color w:val="000000"/>
        </w:rPr>
        <w:t>Seo</w:t>
      </w:r>
      <w:proofErr w:type="spellEnd"/>
      <w:r w:rsidRPr="00CB7684">
        <w:rPr>
          <w:rFonts w:ascii="Times New Roman" w:eastAsia="Times New Roman" w:hAnsi="Times New Roman" w:cs="Times New Roman"/>
          <w:color w:val="000000"/>
        </w:rPr>
        <w:t xml:space="preserve">, Y. (2020). Cross-Sectional Study on Patient Safety Culture, Patient </w:t>
      </w:r>
      <w:proofErr w:type="spellStart"/>
      <w:r w:rsidRPr="00CB7684">
        <w:rPr>
          <w:rFonts w:ascii="Times New Roman" w:eastAsia="Times New Roman" w:hAnsi="Times New Roman" w:cs="Times New Roman"/>
          <w:color w:val="000000"/>
        </w:rPr>
        <w:t>Safetyb</w:t>
      </w:r>
      <w:proofErr w:type="spellEnd"/>
      <w:r w:rsidRPr="00CB7684">
        <w:rPr>
          <w:rFonts w:ascii="Times New Roman" w:eastAsia="Times New Roman" w:hAnsi="Times New Roman" w:cs="Times New Roman"/>
          <w:color w:val="000000"/>
        </w:rPr>
        <w:t xml:space="preserve"> Competency, and Adverse Events. </w:t>
      </w:r>
      <w:r w:rsidRPr="00CB7684">
        <w:rPr>
          <w:rFonts w:ascii="Times New Roman" w:eastAsia="Times New Roman" w:hAnsi="Times New Roman" w:cs="Times New Roman"/>
          <w:i/>
          <w:iCs/>
          <w:color w:val="000000"/>
        </w:rPr>
        <w:t>Western Journal of Nursing Research</w:t>
      </w:r>
      <w:r w:rsidRPr="00CB7684">
        <w:rPr>
          <w:rFonts w:ascii="Times New Roman" w:eastAsia="Times New Roman" w:hAnsi="Times New Roman" w:cs="Times New Roman"/>
          <w:color w:val="000000"/>
        </w:rPr>
        <w:t xml:space="preserve">, </w:t>
      </w:r>
      <w:r w:rsidRPr="00CB7684">
        <w:rPr>
          <w:rFonts w:ascii="Times New Roman" w:eastAsia="Times New Roman" w:hAnsi="Times New Roman" w:cs="Times New Roman"/>
          <w:i/>
          <w:iCs/>
          <w:color w:val="000000"/>
        </w:rPr>
        <w:t>42</w:t>
      </w:r>
      <w:r w:rsidRPr="00CB7684">
        <w:rPr>
          <w:rFonts w:ascii="Times New Roman" w:eastAsia="Times New Roman" w:hAnsi="Times New Roman" w:cs="Times New Roman"/>
          <w:color w:val="000000"/>
        </w:rPr>
        <w:t>(1), 32–40.</w:t>
      </w:r>
      <w:hyperlink r:id="rId51" w:tgtFrame="_blank" w:history="1">
        <w:r w:rsidRPr="00CB7684">
          <w:rPr>
            <w:rFonts w:ascii="Times New Roman" w:eastAsia="Times New Roman" w:hAnsi="Times New Roman" w:cs="Times New Roman"/>
            <w:color w:val="0563C1"/>
            <w:u w:val="single"/>
          </w:rPr>
          <w:t xml:space="preserve"> https://doi.org/10.1177/0193945919838990</w:t>
        </w:r>
      </w:hyperlink>
      <w:r w:rsidRPr="00CB7684">
        <w:rPr>
          <w:rFonts w:ascii="Times New Roman" w:eastAsia="Times New Roman" w:hAnsi="Times New Roman" w:cs="Times New Roman"/>
          <w:color w:val="000000"/>
        </w:rPr>
        <w:t>    </w:t>
      </w:r>
    </w:p>
    <w:p w14:paraId="5205BB58" w14:textId="5AC9B428" w:rsidR="004A0CF0" w:rsidRDefault="004A0CF0" w:rsidP="00E514CC">
      <w:pPr>
        <w:spacing w:after="0" w:line="240" w:lineRule="auto"/>
        <w:ind w:left="720" w:hanging="720"/>
        <w:textAlignment w:val="baseline"/>
        <w:rPr>
          <w:rFonts w:ascii="Times New Roman" w:eastAsia="Times New Roman" w:hAnsi="Times New Roman" w:cs="Times New Roman"/>
          <w:color w:val="000000"/>
        </w:rPr>
      </w:pPr>
      <w:proofErr w:type="spellStart"/>
      <w:r w:rsidRPr="00CB7684">
        <w:rPr>
          <w:rFonts w:ascii="Times New Roman" w:eastAsia="Times New Roman" w:hAnsi="Times New Roman" w:cs="Times New Roman"/>
          <w:color w:val="000000"/>
        </w:rPr>
        <w:t>Jachuck</w:t>
      </w:r>
      <w:proofErr w:type="spellEnd"/>
      <w:r w:rsidRPr="00CB7684">
        <w:rPr>
          <w:rFonts w:ascii="Times New Roman" w:eastAsia="Times New Roman" w:hAnsi="Times New Roman" w:cs="Times New Roman"/>
          <w:color w:val="000000"/>
        </w:rPr>
        <w:t xml:space="preserve">, S. J., Bound, C. L., Steel, J., &amp; Blain, P. G. (1989, July 1). </w:t>
      </w:r>
      <w:r w:rsidRPr="00CB7684">
        <w:rPr>
          <w:rFonts w:ascii="Times New Roman" w:eastAsia="Times New Roman" w:hAnsi="Times New Roman" w:cs="Times New Roman"/>
          <w:i/>
          <w:iCs/>
          <w:color w:val="000000"/>
        </w:rPr>
        <w:t>Occupational hazard in hospital staff exposed to 2 per cent glutaraldehyde in an Endoscopy Unit</w:t>
      </w:r>
      <w:r w:rsidRPr="00CB7684">
        <w:rPr>
          <w:rFonts w:ascii="Times New Roman" w:eastAsia="Times New Roman" w:hAnsi="Times New Roman" w:cs="Times New Roman"/>
          <w:color w:val="000000"/>
        </w:rPr>
        <w:t xml:space="preserve">. OUP Academic. Retrieved April 20, 2022, from </w:t>
      </w:r>
      <w:hyperlink r:id="rId52" w:tgtFrame="_blank" w:history="1">
        <w:r w:rsidRPr="00CB7684">
          <w:rPr>
            <w:rFonts w:ascii="Times New Roman" w:eastAsia="Times New Roman" w:hAnsi="Times New Roman" w:cs="Times New Roman"/>
            <w:color w:val="0563C1"/>
            <w:u w:val="single"/>
          </w:rPr>
          <w:t>https://academic.oup.com/occmed/article-abstract/39/2/69/1355873</w:t>
        </w:r>
      </w:hyperlink>
      <w:r w:rsidRPr="00CB7684">
        <w:rPr>
          <w:rFonts w:ascii="Times New Roman" w:eastAsia="Times New Roman" w:hAnsi="Times New Roman" w:cs="Times New Roman"/>
          <w:color w:val="000000"/>
        </w:rPr>
        <w:t>  </w:t>
      </w:r>
    </w:p>
    <w:p w14:paraId="07115B2B" w14:textId="77777777" w:rsidR="00BB3982" w:rsidRPr="00CB7684" w:rsidRDefault="00BB3982" w:rsidP="00E514CC">
      <w:pPr>
        <w:spacing w:after="0" w:line="240" w:lineRule="auto"/>
        <w:ind w:left="720" w:hanging="720"/>
        <w:textAlignment w:val="baseline"/>
        <w:rPr>
          <w:rFonts w:ascii="Segoe UI" w:eastAsia="Times New Roman" w:hAnsi="Segoe UI" w:cs="Segoe UI"/>
          <w:sz w:val="18"/>
          <w:szCs w:val="18"/>
        </w:rPr>
      </w:pPr>
    </w:p>
    <w:p w14:paraId="40F1052C" w14:textId="77777777" w:rsidR="004A0CF0" w:rsidRPr="00CB7684" w:rsidRDefault="004A0CF0" w:rsidP="00E514CC">
      <w:pPr>
        <w:spacing w:after="0" w:line="240" w:lineRule="auto"/>
        <w:ind w:left="720" w:hanging="720"/>
        <w:textAlignment w:val="baseline"/>
        <w:rPr>
          <w:rFonts w:ascii="Segoe UI" w:eastAsia="Times New Roman" w:hAnsi="Segoe UI" w:cs="Segoe UI"/>
          <w:sz w:val="18"/>
          <w:szCs w:val="18"/>
        </w:rPr>
      </w:pPr>
      <w:r w:rsidRPr="00CB7684">
        <w:rPr>
          <w:rFonts w:ascii="Times New Roman" w:eastAsia="Times New Roman" w:hAnsi="Times New Roman" w:cs="Times New Roman"/>
          <w:color w:val="000000"/>
        </w:rPr>
        <w:t xml:space="preserve">Lawson, C. C., </w:t>
      </w:r>
      <w:proofErr w:type="spellStart"/>
      <w:r w:rsidRPr="00CB7684">
        <w:rPr>
          <w:rFonts w:ascii="Times New Roman" w:eastAsia="Times New Roman" w:hAnsi="Times New Roman" w:cs="Times New Roman"/>
          <w:color w:val="000000"/>
        </w:rPr>
        <w:t>Rocheleau</w:t>
      </w:r>
      <w:proofErr w:type="spellEnd"/>
      <w:r w:rsidRPr="00CB7684">
        <w:rPr>
          <w:rFonts w:ascii="Times New Roman" w:eastAsia="Times New Roman" w:hAnsi="Times New Roman" w:cs="Times New Roman"/>
          <w:color w:val="000000"/>
        </w:rPr>
        <w:t xml:space="preserve">, C. M., Whelan, E. A., </w:t>
      </w:r>
      <w:proofErr w:type="spellStart"/>
      <w:r w:rsidRPr="00CB7684">
        <w:rPr>
          <w:rFonts w:ascii="Times New Roman" w:eastAsia="Times New Roman" w:hAnsi="Times New Roman" w:cs="Times New Roman"/>
          <w:color w:val="000000"/>
        </w:rPr>
        <w:t>Lividoti</w:t>
      </w:r>
      <w:proofErr w:type="spellEnd"/>
      <w:r w:rsidRPr="00CB7684">
        <w:rPr>
          <w:rFonts w:ascii="Times New Roman" w:eastAsia="Times New Roman" w:hAnsi="Times New Roman" w:cs="Times New Roman"/>
          <w:color w:val="000000"/>
        </w:rPr>
        <w:t xml:space="preserve"> </w:t>
      </w:r>
      <w:proofErr w:type="spellStart"/>
      <w:r w:rsidRPr="00CB7684">
        <w:rPr>
          <w:rFonts w:ascii="Times New Roman" w:eastAsia="Times New Roman" w:hAnsi="Times New Roman" w:cs="Times New Roman"/>
          <w:color w:val="000000"/>
        </w:rPr>
        <w:t>Hibert</w:t>
      </w:r>
      <w:proofErr w:type="spellEnd"/>
      <w:r w:rsidRPr="00CB7684">
        <w:rPr>
          <w:rFonts w:ascii="Times New Roman" w:eastAsia="Times New Roman" w:hAnsi="Times New Roman" w:cs="Times New Roman"/>
          <w:color w:val="000000"/>
        </w:rPr>
        <w:t xml:space="preserve">, E. N., Grajewski, B., Spiegelman, D., &amp; Rich-Edwards, J. W. (2013). Occupational exposures among nurses and risk of spontaneous abortion. </w:t>
      </w:r>
      <w:r w:rsidRPr="00CB7684">
        <w:rPr>
          <w:rFonts w:ascii="Times New Roman" w:eastAsia="Times New Roman" w:hAnsi="Times New Roman" w:cs="Times New Roman"/>
          <w:i/>
          <w:iCs/>
          <w:color w:val="000000"/>
        </w:rPr>
        <w:t>Obstetric Anesthesia Digest</w:t>
      </w:r>
      <w:r w:rsidRPr="00CB7684">
        <w:rPr>
          <w:rFonts w:ascii="Times New Roman" w:eastAsia="Times New Roman" w:hAnsi="Times New Roman" w:cs="Times New Roman"/>
          <w:color w:val="000000"/>
        </w:rPr>
        <w:t xml:space="preserve">, </w:t>
      </w:r>
      <w:r w:rsidRPr="00CB7684">
        <w:rPr>
          <w:rFonts w:ascii="Times New Roman" w:eastAsia="Times New Roman" w:hAnsi="Times New Roman" w:cs="Times New Roman"/>
          <w:i/>
          <w:iCs/>
          <w:color w:val="000000"/>
        </w:rPr>
        <w:t>33</w:t>
      </w:r>
      <w:r w:rsidRPr="00CB7684">
        <w:rPr>
          <w:rFonts w:ascii="Times New Roman" w:eastAsia="Times New Roman" w:hAnsi="Times New Roman" w:cs="Times New Roman"/>
          <w:color w:val="000000"/>
        </w:rPr>
        <w:t xml:space="preserve">(1), 36–37. </w:t>
      </w:r>
      <w:hyperlink r:id="rId53" w:tgtFrame="_blank" w:history="1">
        <w:r w:rsidRPr="00CB7684">
          <w:rPr>
            <w:rFonts w:ascii="Times New Roman" w:eastAsia="Times New Roman" w:hAnsi="Times New Roman" w:cs="Times New Roman"/>
            <w:color w:val="0563C1"/>
            <w:u w:val="single"/>
          </w:rPr>
          <w:t>https://doi.org/10.1097/01.aoa.0000426099.31929.92</w:t>
        </w:r>
      </w:hyperlink>
      <w:r w:rsidRPr="00CB7684">
        <w:rPr>
          <w:rFonts w:ascii="Times New Roman" w:eastAsia="Times New Roman" w:hAnsi="Times New Roman" w:cs="Times New Roman"/>
          <w:color w:val="000000"/>
        </w:rPr>
        <w:t>  </w:t>
      </w:r>
    </w:p>
    <w:p w14:paraId="79603987" w14:textId="77777777" w:rsidR="004A0CF0" w:rsidRPr="00CB7684" w:rsidRDefault="004A0CF0" w:rsidP="00E514CC">
      <w:pPr>
        <w:spacing w:after="0" w:line="240" w:lineRule="auto"/>
        <w:ind w:left="720" w:hanging="720"/>
        <w:textAlignment w:val="baseline"/>
        <w:rPr>
          <w:rFonts w:ascii="Segoe UI" w:eastAsia="Times New Roman" w:hAnsi="Segoe UI" w:cs="Segoe UI"/>
          <w:sz w:val="18"/>
          <w:szCs w:val="18"/>
        </w:rPr>
      </w:pPr>
      <w:r w:rsidRPr="00CB7684">
        <w:rPr>
          <w:rFonts w:ascii="Times New Roman" w:eastAsia="Times New Roman" w:hAnsi="Times New Roman" w:cs="Times New Roman"/>
          <w:color w:val="000000"/>
        </w:rPr>
        <w:t xml:space="preserve">Lingard, H., &amp; Holmes, N. (n.d.). </w:t>
      </w:r>
      <w:r w:rsidRPr="00CB7684">
        <w:rPr>
          <w:rFonts w:ascii="Times New Roman" w:eastAsia="Times New Roman" w:hAnsi="Times New Roman" w:cs="Times New Roman"/>
          <w:i/>
          <w:iCs/>
          <w:color w:val="000000"/>
        </w:rPr>
        <w:t>Understandings of occupational health and safety risk control in small business construction firms: Barriers to implementing technological controls</w:t>
      </w:r>
      <w:r w:rsidRPr="00CB7684">
        <w:rPr>
          <w:rFonts w:ascii="Times New Roman" w:eastAsia="Times New Roman" w:hAnsi="Times New Roman" w:cs="Times New Roman"/>
          <w:color w:val="000000"/>
        </w:rPr>
        <w:t xml:space="preserve">. Taylor &amp; Francis. Retrieved April 20, 2022, from </w:t>
      </w:r>
      <w:hyperlink r:id="rId54" w:tgtFrame="_blank" w:history="1">
        <w:r w:rsidRPr="00CB7684">
          <w:rPr>
            <w:rFonts w:ascii="Times New Roman" w:eastAsia="Times New Roman" w:hAnsi="Times New Roman" w:cs="Times New Roman"/>
            <w:color w:val="0563C1"/>
            <w:u w:val="single"/>
          </w:rPr>
          <w:t>https://www.tandfonline.com/doi/abs/10.1080/01446190010002570</w:t>
        </w:r>
      </w:hyperlink>
      <w:r w:rsidRPr="00CB7684">
        <w:rPr>
          <w:rFonts w:ascii="Times New Roman" w:eastAsia="Times New Roman" w:hAnsi="Times New Roman" w:cs="Times New Roman"/>
          <w:color w:val="000000"/>
        </w:rPr>
        <w:t>  </w:t>
      </w:r>
    </w:p>
    <w:p w14:paraId="7B8BFA5B" w14:textId="77777777" w:rsidR="004A0CF0" w:rsidRPr="00CB7684" w:rsidRDefault="004A0CF0" w:rsidP="00343251">
      <w:pPr>
        <w:spacing w:after="0" w:line="240" w:lineRule="auto"/>
        <w:ind w:left="555" w:hanging="720"/>
        <w:textAlignment w:val="baseline"/>
        <w:rPr>
          <w:rFonts w:ascii="Segoe UI" w:eastAsia="Times New Roman" w:hAnsi="Segoe UI" w:cs="Segoe UI"/>
          <w:sz w:val="18"/>
          <w:szCs w:val="18"/>
        </w:rPr>
      </w:pPr>
      <w:r w:rsidRPr="00CB7684">
        <w:rPr>
          <w:rFonts w:ascii="Times New Roman" w:eastAsia="Times New Roman" w:hAnsi="Times New Roman" w:cs="Times New Roman"/>
          <w:sz w:val="24"/>
          <w:szCs w:val="24"/>
        </w:rPr>
        <w:t>Medicare.gov. (22 January,</w:t>
      </w:r>
      <w:proofErr w:type="gramStart"/>
      <w:r w:rsidRPr="00CB7684">
        <w:rPr>
          <w:rFonts w:ascii="Times New Roman" w:eastAsia="Times New Roman" w:hAnsi="Times New Roman" w:cs="Times New Roman"/>
          <w:sz w:val="24"/>
          <w:szCs w:val="24"/>
        </w:rPr>
        <w:t>2022 )</w:t>
      </w:r>
      <w:proofErr w:type="gramEnd"/>
      <w:r w:rsidRPr="00CB7684">
        <w:rPr>
          <w:rFonts w:ascii="Times New Roman" w:eastAsia="Times New Roman" w:hAnsi="Times New Roman" w:cs="Times New Roman"/>
          <w:sz w:val="24"/>
          <w:szCs w:val="24"/>
        </w:rPr>
        <w:t>. Retrieved April 26, 2022, from https://www.medicare.gov/care-compare/all-results?searchType=Hospital&amp;page=1&amp;state=NY&amp;emergencyServices=true&amp;hospitalType=Acute+Care+Hospitals&amp;sort=alpha&amp;returnAllResults=true  </w:t>
      </w:r>
    </w:p>
    <w:p w14:paraId="44108140" w14:textId="77777777" w:rsidR="004A0CF0" w:rsidRPr="00CB7684" w:rsidRDefault="004A0CF0" w:rsidP="00343251">
      <w:pPr>
        <w:spacing w:after="0" w:line="240" w:lineRule="auto"/>
        <w:ind w:left="555" w:hanging="720"/>
        <w:textAlignment w:val="baseline"/>
        <w:rPr>
          <w:rFonts w:ascii="Segoe UI" w:eastAsia="Times New Roman" w:hAnsi="Segoe UI" w:cs="Segoe UI"/>
          <w:sz w:val="18"/>
          <w:szCs w:val="18"/>
        </w:rPr>
      </w:pPr>
      <w:r w:rsidRPr="00CB7684">
        <w:rPr>
          <w:rFonts w:ascii="Times New Roman" w:eastAsia="Times New Roman" w:hAnsi="Times New Roman" w:cs="Times New Roman"/>
          <w:sz w:val="24"/>
          <w:szCs w:val="24"/>
        </w:rPr>
        <w:t xml:space="preserve">Qi, J. (2019, January 19). </w:t>
      </w:r>
      <w:r w:rsidRPr="00CB7684">
        <w:rPr>
          <w:rFonts w:ascii="Times New Roman" w:eastAsia="Times New Roman" w:hAnsi="Times New Roman" w:cs="Times New Roman"/>
          <w:i/>
          <w:iCs/>
          <w:sz w:val="24"/>
          <w:szCs w:val="24"/>
        </w:rPr>
        <w:t>U.S. ZIP code query: United States ZIP code 5 plus 4</w:t>
      </w:r>
      <w:r w:rsidRPr="00CB7684">
        <w:rPr>
          <w:rFonts w:ascii="Times New Roman" w:eastAsia="Times New Roman" w:hAnsi="Times New Roman" w:cs="Times New Roman"/>
          <w:sz w:val="24"/>
          <w:szCs w:val="24"/>
        </w:rPr>
        <w:t xml:space="preserve">. U.S. ZIP Code 5 Plus 4. Retrieved April 26, 2022, from </w:t>
      </w:r>
      <w:hyperlink r:id="rId55" w:tgtFrame="_blank" w:history="1">
        <w:r w:rsidRPr="00CB7684">
          <w:rPr>
            <w:rFonts w:ascii="Times New Roman" w:eastAsia="Times New Roman" w:hAnsi="Times New Roman" w:cs="Times New Roman"/>
            <w:color w:val="0563C1"/>
            <w:sz w:val="24"/>
            <w:szCs w:val="24"/>
            <w:u w:val="single"/>
          </w:rPr>
          <w:t>https://zip.postcodebase.com/</w:t>
        </w:r>
      </w:hyperlink>
      <w:r w:rsidRPr="00CB7684">
        <w:rPr>
          <w:rFonts w:ascii="Times New Roman" w:eastAsia="Times New Roman" w:hAnsi="Times New Roman" w:cs="Times New Roman"/>
          <w:sz w:val="24"/>
          <w:szCs w:val="24"/>
        </w:rPr>
        <w:t>  </w:t>
      </w:r>
    </w:p>
    <w:p w14:paraId="483B4865" w14:textId="77777777" w:rsidR="004A0CF0" w:rsidRPr="00CB7684" w:rsidRDefault="004A0CF0" w:rsidP="00E514CC">
      <w:pPr>
        <w:spacing w:after="0" w:line="240" w:lineRule="auto"/>
        <w:ind w:left="720" w:hanging="720"/>
        <w:textAlignment w:val="baseline"/>
        <w:rPr>
          <w:rFonts w:ascii="Segoe UI" w:eastAsia="Times New Roman" w:hAnsi="Segoe UI" w:cs="Segoe UI"/>
          <w:sz w:val="18"/>
          <w:szCs w:val="18"/>
        </w:rPr>
      </w:pPr>
      <w:r w:rsidRPr="00CB7684">
        <w:rPr>
          <w:rFonts w:ascii="Times New Roman" w:eastAsia="Times New Roman" w:hAnsi="Times New Roman" w:cs="Times New Roman"/>
          <w:color w:val="000000"/>
        </w:rPr>
        <w:t xml:space="preserve">Rich, N. (2016, January 6). </w:t>
      </w:r>
      <w:r w:rsidRPr="00CB7684">
        <w:rPr>
          <w:rFonts w:ascii="Times New Roman" w:eastAsia="Times New Roman" w:hAnsi="Times New Roman" w:cs="Times New Roman"/>
          <w:i/>
          <w:iCs/>
          <w:color w:val="000000"/>
        </w:rPr>
        <w:t>The lawyer who became Dupont's worst nightmare</w:t>
      </w:r>
      <w:r w:rsidRPr="00CB7684">
        <w:rPr>
          <w:rFonts w:ascii="Times New Roman" w:eastAsia="Times New Roman" w:hAnsi="Times New Roman" w:cs="Times New Roman"/>
          <w:color w:val="000000"/>
        </w:rPr>
        <w:t xml:space="preserve">. The New York Times. Retrieved April 20, 2022, from </w:t>
      </w:r>
      <w:hyperlink r:id="rId56" w:tgtFrame="_blank" w:history="1">
        <w:r w:rsidRPr="00CB7684">
          <w:rPr>
            <w:rFonts w:ascii="Times New Roman" w:eastAsia="Times New Roman" w:hAnsi="Times New Roman" w:cs="Times New Roman"/>
            <w:color w:val="0563C1"/>
            <w:u w:val="single"/>
          </w:rPr>
          <w:t>https://www.nytimes.com/2016/01/10/magazine/the-lawyer-who-became-duponts-worst-nightmare.html</w:t>
        </w:r>
      </w:hyperlink>
      <w:r w:rsidRPr="00CB7684">
        <w:rPr>
          <w:rFonts w:ascii="Times New Roman" w:eastAsia="Times New Roman" w:hAnsi="Times New Roman" w:cs="Times New Roman"/>
          <w:color w:val="000000"/>
        </w:rPr>
        <w:t>  </w:t>
      </w:r>
    </w:p>
    <w:p w14:paraId="255523DC" w14:textId="77777777" w:rsidR="004A0CF0" w:rsidRPr="00CB7684" w:rsidRDefault="004A0CF0" w:rsidP="00E514CC">
      <w:pPr>
        <w:spacing w:after="0" w:line="240" w:lineRule="auto"/>
        <w:ind w:left="555" w:hanging="555"/>
        <w:textAlignment w:val="baseline"/>
        <w:rPr>
          <w:rFonts w:ascii="Segoe UI" w:eastAsia="Times New Roman" w:hAnsi="Segoe UI" w:cs="Segoe UI"/>
          <w:sz w:val="18"/>
          <w:szCs w:val="18"/>
        </w:rPr>
      </w:pPr>
      <w:r w:rsidRPr="00CB7684">
        <w:rPr>
          <w:rFonts w:ascii="Times New Roman" w:eastAsia="Times New Roman" w:hAnsi="Times New Roman" w:cs="Times New Roman"/>
          <w:color w:val="000000"/>
        </w:rPr>
        <w:t xml:space="preserve">Sisk, T. (2021, June 22). </w:t>
      </w:r>
      <w:proofErr w:type="gramStart"/>
      <w:r w:rsidRPr="00CB7684">
        <w:rPr>
          <w:rFonts w:ascii="Times New Roman" w:eastAsia="Times New Roman" w:hAnsi="Times New Roman" w:cs="Times New Roman"/>
          <w:i/>
          <w:iCs/>
          <w:color w:val="000000"/>
        </w:rPr>
        <w:t>A lasting legacy</w:t>
      </w:r>
      <w:proofErr w:type="gramEnd"/>
      <w:r w:rsidRPr="00CB7684">
        <w:rPr>
          <w:rFonts w:ascii="Times New Roman" w:eastAsia="Times New Roman" w:hAnsi="Times New Roman" w:cs="Times New Roman"/>
          <w:i/>
          <w:iCs/>
          <w:color w:val="000000"/>
        </w:rPr>
        <w:t>: Dupont, C8 contamination and the community of Parkersburg left to grapple with the consequences</w:t>
      </w:r>
      <w:r w:rsidRPr="00CB7684">
        <w:rPr>
          <w:rFonts w:ascii="Times New Roman" w:eastAsia="Times New Roman" w:hAnsi="Times New Roman" w:cs="Times New Roman"/>
          <w:color w:val="000000"/>
        </w:rPr>
        <w:t xml:space="preserve">. EHN. Retrieved April 20, 2022, from </w:t>
      </w:r>
      <w:hyperlink r:id="rId57" w:tgtFrame="_blank" w:history="1">
        <w:r w:rsidRPr="00CB7684">
          <w:rPr>
            <w:rFonts w:ascii="Times New Roman" w:eastAsia="Times New Roman" w:hAnsi="Times New Roman" w:cs="Times New Roman"/>
            <w:color w:val="0563C1"/>
            <w:u w:val="single"/>
          </w:rPr>
          <w:t>https://www.ehn.org/dupont-c8-parkersburg-2644262065/particle-7</w:t>
        </w:r>
      </w:hyperlink>
      <w:r w:rsidRPr="00CB7684">
        <w:rPr>
          <w:rFonts w:ascii="Times New Roman" w:eastAsia="Times New Roman" w:hAnsi="Times New Roman" w:cs="Times New Roman"/>
          <w:color w:val="000000"/>
        </w:rPr>
        <w:t>  </w:t>
      </w:r>
    </w:p>
    <w:p w14:paraId="4E4D683E" w14:textId="77777777" w:rsidR="004A0CF0" w:rsidRPr="00CB7684" w:rsidRDefault="004A0CF0" w:rsidP="00E514CC">
      <w:pPr>
        <w:spacing w:after="0" w:line="240" w:lineRule="auto"/>
        <w:ind w:left="720" w:hanging="720"/>
        <w:textAlignment w:val="baseline"/>
        <w:rPr>
          <w:rFonts w:ascii="Segoe UI" w:eastAsia="Times New Roman" w:hAnsi="Segoe UI" w:cs="Segoe UI"/>
          <w:sz w:val="18"/>
          <w:szCs w:val="18"/>
        </w:rPr>
      </w:pPr>
      <w:proofErr w:type="spellStart"/>
      <w:r w:rsidRPr="00CB7684">
        <w:rPr>
          <w:rFonts w:ascii="Times New Roman" w:eastAsia="Times New Roman" w:hAnsi="Times New Roman" w:cs="Times New Roman"/>
          <w:color w:val="000000"/>
        </w:rPr>
        <w:t>Trinkoff</w:t>
      </w:r>
      <w:proofErr w:type="spellEnd"/>
      <w:r w:rsidRPr="00CB7684">
        <w:rPr>
          <w:rFonts w:ascii="Times New Roman" w:eastAsia="Times New Roman" w:hAnsi="Times New Roman" w:cs="Times New Roman"/>
          <w:color w:val="000000"/>
        </w:rPr>
        <w:t xml:space="preserve">, A. (2008). New resource for patient safety and quality. </w:t>
      </w:r>
      <w:r w:rsidRPr="00CB7684">
        <w:rPr>
          <w:rFonts w:ascii="Times New Roman" w:eastAsia="Times New Roman" w:hAnsi="Times New Roman" w:cs="Times New Roman"/>
          <w:i/>
          <w:iCs/>
          <w:color w:val="000000"/>
        </w:rPr>
        <w:t>Advances in Neonatal Care</w:t>
      </w:r>
      <w:r w:rsidRPr="00CB7684">
        <w:rPr>
          <w:rFonts w:ascii="Times New Roman" w:eastAsia="Times New Roman" w:hAnsi="Times New Roman" w:cs="Times New Roman"/>
          <w:color w:val="000000"/>
        </w:rPr>
        <w:t xml:space="preserve">, </w:t>
      </w:r>
      <w:r w:rsidRPr="00CB7684">
        <w:rPr>
          <w:rFonts w:ascii="Times New Roman" w:eastAsia="Times New Roman" w:hAnsi="Times New Roman" w:cs="Times New Roman"/>
          <w:i/>
          <w:iCs/>
          <w:color w:val="000000"/>
        </w:rPr>
        <w:t>8</w:t>
      </w:r>
      <w:r w:rsidRPr="00CB7684">
        <w:rPr>
          <w:rFonts w:ascii="Times New Roman" w:eastAsia="Times New Roman" w:hAnsi="Times New Roman" w:cs="Times New Roman"/>
          <w:color w:val="000000"/>
        </w:rPr>
        <w:t xml:space="preserve">(4), 193. </w:t>
      </w:r>
      <w:hyperlink r:id="rId58" w:tgtFrame="_blank" w:history="1">
        <w:r w:rsidRPr="00CB7684">
          <w:rPr>
            <w:rFonts w:ascii="Times New Roman" w:eastAsia="Times New Roman" w:hAnsi="Times New Roman" w:cs="Times New Roman"/>
            <w:color w:val="0563C1"/>
            <w:u w:val="single"/>
          </w:rPr>
          <w:t>https://doi.org/10.1097/01.anc.0000333700.86195.e5</w:t>
        </w:r>
      </w:hyperlink>
      <w:r w:rsidRPr="00CB7684">
        <w:rPr>
          <w:rFonts w:ascii="Times New Roman" w:eastAsia="Times New Roman" w:hAnsi="Times New Roman" w:cs="Times New Roman"/>
          <w:color w:val="000000"/>
        </w:rPr>
        <w:t>  </w:t>
      </w:r>
    </w:p>
    <w:p w14:paraId="0AA4EAA5" w14:textId="77777777" w:rsidR="004A0CF0" w:rsidRPr="00CB7684" w:rsidRDefault="004A0CF0" w:rsidP="00E514CC">
      <w:pPr>
        <w:spacing w:after="0" w:line="240" w:lineRule="auto"/>
        <w:ind w:left="720" w:hanging="720"/>
        <w:textAlignment w:val="baseline"/>
        <w:rPr>
          <w:rFonts w:ascii="Segoe UI" w:eastAsia="Times New Roman" w:hAnsi="Segoe UI" w:cs="Segoe UI"/>
          <w:sz w:val="18"/>
          <w:szCs w:val="18"/>
        </w:rPr>
      </w:pPr>
      <w:proofErr w:type="spellStart"/>
      <w:r w:rsidRPr="00CB7684">
        <w:rPr>
          <w:rFonts w:ascii="Times New Roman" w:eastAsia="Times New Roman" w:hAnsi="Times New Roman" w:cs="Times New Roman"/>
          <w:color w:val="000000"/>
        </w:rPr>
        <w:t>Triolo</w:t>
      </w:r>
      <w:proofErr w:type="spellEnd"/>
      <w:r w:rsidRPr="00CB7684">
        <w:rPr>
          <w:rFonts w:ascii="Times New Roman" w:eastAsia="Times New Roman" w:hAnsi="Times New Roman" w:cs="Times New Roman"/>
          <w:color w:val="000000"/>
        </w:rPr>
        <w:t xml:space="preserve">, P. K. (1989). Occupational Health Hazards of Hospital Staff Nurses Part II. </w:t>
      </w:r>
      <w:r w:rsidRPr="00CB7684">
        <w:rPr>
          <w:rFonts w:ascii="Times New Roman" w:eastAsia="Times New Roman" w:hAnsi="Times New Roman" w:cs="Times New Roman"/>
          <w:i/>
          <w:iCs/>
          <w:color w:val="000000"/>
        </w:rPr>
        <w:t>AAOHN Journal</w:t>
      </w:r>
      <w:r w:rsidRPr="00CB7684">
        <w:rPr>
          <w:rFonts w:ascii="Times New Roman" w:eastAsia="Times New Roman" w:hAnsi="Times New Roman" w:cs="Times New Roman"/>
          <w:color w:val="000000"/>
        </w:rPr>
        <w:t xml:space="preserve">, </w:t>
      </w:r>
      <w:r w:rsidRPr="00CB7684">
        <w:rPr>
          <w:rFonts w:ascii="Times New Roman" w:eastAsia="Times New Roman" w:hAnsi="Times New Roman" w:cs="Times New Roman"/>
          <w:i/>
          <w:iCs/>
          <w:color w:val="000000"/>
        </w:rPr>
        <w:t>37</w:t>
      </w:r>
      <w:r w:rsidRPr="00CB7684">
        <w:rPr>
          <w:rFonts w:ascii="Times New Roman" w:eastAsia="Times New Roman" w:hAnsi="Times New Roman" w:cs="Times New Roman"/>
          <w:color w:val="000000"/>
        </w:rPr>
        <w:t xml:space="preserve">(7), 274–279. </w:t>
      </w:r>
      <w:hyperlink r:id="rId59" w:tgtFrame="_blank" w:history="1">
        <w:r w:rsidRPr="00CB7684">
          <w:rPr>
            <w:rFonts w:ascii="Times New Roman" w:eastAsia="Times New Roman" w:hAnsi="Times New Roman" w:cs="Times New Roman"/>
            <w:color w:val="0563C1"/>
            <w:u w:val="single"/>
          </w:rPr>
          <w:t>https://doi.org/10.1177/216507998903700704</w:t>
        </w:r>
      </w:hyperlink>
      <w:r w:rsidRPr="00CB7684">
        <w:rPr>
          <w:rFonts w:ascii="Times New Roman" w:eastAsia="Times New Roman" w:hAnsi="Times New Roman" w:cs="Times New Roman"/>
          <w:color w:val="000000"/>
        </w:rPr>
        <w:t>  </w:t>
      </w:r>
    </w:p>
    <w:p w14:paraId="73CA606E" w14:textId="77777777" w:rsidR="004A0CF0" w:rsidRPr="00CB7684" w:rsidRDefault="004A0CF0" w:rsidP="00E514CC">
      <w:pPr>
        <w:spacing w:after="0" w:line="240" w:lineRule="auto"/>
        <w:ind w:left="720" w:hanging="720"/>
        <w:textAlignment w:val="baseline"/>
        <w:rPr>
          <w:rFonts w:ascii="Segoe UI" w:eastAsia="Times New Roman" w:hAnsi="Segoe UI" w:cs="Segoe UI"/>
          <w:sz w:val="18"/>
          <w:szCs w:val="18"/>
        </w:rPr>
      </w:pPr>
      <w:proofErr w:type="spellStart"/>
      <w:r w:rsidRPr="00CB7684">
        <w:rPr>
          <w:rFonts w:ascii="Times New Roman" w:eastAsia="Times New Roman" w:hAnsi="Times New Roman" w:cs="Times New Roman"/>
          <w:color w:val="000000"/>
        </w:rPr>
        <w:lastRenderedPageBreak/>
        <w:t>Vogus</w:t>
      </w:r>
      <w:proofErr w:type="spellEnd"/>
      <w:r w:rsidRPr="00CB7684">
        <w:rPr>
          <w:rFonts w:ascii="Times New Roman" w:eastAsia="Times New Roman" w:hAnsi="Times New Roman" w:cs="Times New Roman"/>
          <w:color w:val="000000"/>
        </w:rPr>
        <w:t xml:space="preserve">, T., Weick, K. E., &amp; Sutcliffe, K. M. (2010). Doing no harm: Enabling, enacting, and elaborating a culture of Safety in Health Care. </w:t>
      </w:r>
      <w:r w:rsidRPr="00CB7684">
        <w:rPr>
          <w:rFonts w:ascii="Times New Roman" w:eastAsia="Times New Roman" w:hAnsi="Times New Roman" w:cs="Times New Roman"/>
          <w:i/>
          <w:iCs/>
          <w:color w:val="000000"/>
        </w:rPr>
        <w:t>SSRN Electronic Journal</w:t>
      </w:r>
      <w:r w:rsidRPr="00CB7684">
        <w:rPr>
          <w:rFonts w:ascii="Times New Roman" w:eastAsia="Times New Roman" w:hAnsi="Times New Roman" w:cs="Times New Roman"/>
          <w:color w:val="000000"/>
        </w:rPr>
        <w:t xml:space="preserve">. </w:t>
      </w:r>
      <w:hyperlink r:id="rId60" w:tgtFrame="_blank" w:history="1">
        <w:r w:rsidRPr="00CB7684">
          <w:rPr>
            <w:rFonts w:ascii="Times New Roman" w:eastAsia="Times New Roman" w:hAnsi="Times New Roman" w:cs="Times New Roman"/>
            <w:color w:val="0563C1"/>
            <w:u w:val="single"/>
          </w:rPr>
          <w:t>https://doi.org/10.2139/ssrn.1904620</w:t>
        </w:r>
      </w:hyperlink>
      <w:r w:rsidRPr="00CB7684">
        <w:rPr>
          <w:rFonts w:ascii="Times New Roman" w:eastAsia="Times New Roman" w:hAnsi="Times New Roman" w:cs="Times New Roman"/>
          <w:color w:val="000000"/>
        </w:rPr>
        <w:t>  </w:t>
      </w:r>
    </w:p>
    <w:p w14:paraId="35E24769" w14:textId="77777777" w:rsidR="004A0CF0" w:rsidRPr="00CB7684" w:rsidRDefault="004A0CF0" w:rsidP="00E514CC">
      <w:pPr>
        <w:spacing w:after="0" w:line="240" w:lineRule="auto"/>
        <w:ind w:left="720" w:hanging="720"/>
        <w:textAlignment w:val="baseline"/>
        <w:rPr>
          <w:rFonts w:ascii="Segoe UI" w:eastAsia="Times New Roman" w:hAnsi="Segoe UI" w:cs="Segoe UI"/>
          <w:sz w:val="18"/>
          <w:szCs w:val="18"/>
        </w:rPr>
      </w:pPr>
      <w:r w:rsidRPr="00CB7684">
        <w:rPr>
          <w:rFonts w:ascii="Times New Roman" w:eastAsia="Times New Roman" w:hAnsi="Times New Roman" w:cs="Times New Roman"/>
          <w:color w:val="000000"/>
        </w:rPr>
        <w:t xml:space="preserve">Weaver, S. J., </w:t>
      </w:r>
      <w:proofErr w:type="spellStart"/>
      <w:r w:rsidRPr="00CB7684">
        <w:rPr>
          <w:rFonts w:ascii="Times New Roman" w:eastAsia="Times New Roman" w:hAnsi="Times New Roman" w:cs="Times New Roman"/>
          <w:color w:val="000000"/>
        </w:rPr>
        <w:t>Lubomksi</w:t>
      </w:r>
      <w:proofErr w:type="spellEnd"/>
      <w:r w:rsidRPr="00CB7684">
        <w:rPr>
          <w:rFonts w:ascii="Times New Roman" w:eastAsia="Times New Roman" w:hAnsi="Times New Roman" w:cs="Times New Roman"/>
          <w:color w:val="000000"/>
        </w:rPr>
        <w:t xml:space="preserve">, L. H., Wilson, R. F., </w:t>
      </w:r>
      <w:proofErr w:type="spellStart"/>
      <w:r w:rsidRPr="00CB7684">
        <w:rPr>
          <w:rFonts w:ascii="Times New Roman" w:eastAsia="Times New Roman" w:hAnsi="Times New Roman" w:cs="Times New Roman"/>
          <w:color w:val="000000"/>
        </w:rPr>
        <w:t>Pfoh</w:t>
      </w:r>
      <w:proofErr w:type="spellEnd"/>
      <w:r w:rsidRPr="00CB7684">
        <w:rPr>
          <w:rFonts w:ascii="Times New Roman" w:eastAsia="Times New Roman" w:hAnsi="Times New Roman" w:cs="Times New Roman"/>
          <w:color w:val="000000"/>
        </w:rPr>
        <w:t xml:space="preserve">, E. R., Martinez, K. A., &amp; Dy, S. M. (2013). Promoting a culture of safety as a patient safety strategy. </w:t>
      </w:r>
      <w:r w:rsidRPr="00CB7684">
        <w:rPr>
          <w:rFonts w:ascii="Times New Roman" w:eastAsia="Times New Roman" w:hAnsi="Times New Roman" w:cs="Times New Roman"/>
          <w:i/>
          <w:iCs/>
          <w:color w:val="000000"/>
        </w:rPr>
        <w:t>Annals of Internal Medicine</w:t>
      </w:r>
      <w:r w:rsidRPr="00CB7684">
        <w:rPr>
          <w:rFonts w:ascii="Times New Roman" w:eastAsia="Times New Roman" w:hAnsi="Times New Roman" w:cs="Times New Roman"/>
          <w:color w:val="000000"/>
        </w:rPr>
        <w:t xml:space="preserve">, </w:t>
      </w:r>
      <w:r w:rsidRPr="00CB7684">
        <w:rPr>
          <w:rFonts w:ascii="Times New Roman" w:eastAsia="Times New Roman" w:hAnsi="Times New Roman" w:cs="Times New Roman"/>
          <w:i/>
          <w:iCs/>
          <w:color w:val="000000"/>
        </w:rPr>
        <w:t>158</w:t>
      </w:r>
      <w:r w:rsidRPr="00CB7684">
        <w:rPr>
          <w:rFonts w:ascii="Times New Roman" w:eastAsia="Times New Roman" w:hAnsi="Times New Roman" w:cs="Times New Roman"/>
          <w:color w:val="000000"/>
        </w:rPr>
        <w:t xml:space="preserve">(5_Part_2), 369. </w:t>
      </w:r>
      <w:hyperlink r:id="rId61" w:tgtFrame="_blank" w:history="1">
        <w:r w:rsidRPr="00CB7684">
          <w:rPr>
            <w:rFonts w:ascii="Times New Roman" w:eastAsia="Times New Roman" w:hAnsi="Times New Roman" w:cs="Times New Roman"/>
            <w:color w:val="0563C1"/>
            <w:u w:val="single"/>
          </w:rPr>
          <w:t>https://doi.org/10.7326/0003-4819-158-5-201303051-00002</w:t>
        </w:r>
      </w:hyperlink>
      <w:r w:rsidRPr="00CB7684">
        <w:rPr>
          <w:rFonts w:ascii="Times New Roman" w:eastAsia="Times New Roman" w:hAnsi="Times New Roman" w:cs="Times New Roman"/>
          <w:color w:val="000000"/>
        </w:rPr>
        <w:t>  </w:t>
      </w:r>
    </w:p>
    <w:p w14:paraId="44DA4CE7" w14:textId="77777777" w:rsidR="004A0CF0" w:rsidRDefault="004A0CF0" w:rsidP="004A0CF0">
      <w:pPr>
        <w:spacing w:after="0" w:line="240" w:lineRule="auto"/>
        <w:ind w:left="555" w:hanging="720"/>
        <w:textAlignment w:val="baseline"/>
        <w:rPr>
          <w:rFonts w:ascii="Segoe UI" w:eastAsia="Times New Roman" w:hAnsi="Segoe UI" w:cs="Segoe UI"/>
          <w:sz w:val="18"/>
          <w:szCs w:val="18"/>
        </w:rPr>
      </w:pPr>
      <w:r w:rsidRPr="00CB7684">
        <w:rPr>
          <w:rFonts w:ascii="Times New Roman" w:eastAsia="Times New Roman" w:hAnsi="Times New Roman" w:cs="Times New Roman"/>
          <w:sz w:val="24"/>
          <w:szCs w:val="24"/>
        </w:rPr>
        <w:t xml:space="preserve">York, S. of N. (2021, July 1). </w:t>
      </w:r>
      <w:r w:rsidRPr="00CB7684">
        <w:rPr>
          <w:rFonts w:ascii="Times New Roman" w:eastAsia="Times New Roman" w:hAnsi="Times New Roman" w:cs="Times New Roman"/>
          <w:i/>
          <w:iCs/>
          <w:sz w:val="24"/>
          <w:szCs w:val="24"/>
        </w:rPr>
        <w:t>NYS Assembled Workers' Compensation claims</w:t>
      </w:r>
      <w:r w:rsidRPr="00CB7684">
        <w:rPr>
          <w:rFonts w:ascii="Times New Roman" w:eastAsia="Times New Roman" w:hAnsi="Times New Roman" w:cs="Times New Roman"/>
          <w:sz w:val="24"/>
          <w:szCs w:val="24"/>
        </w:rPr>
        <w:t>. Kaggle. Retrieved April 26, 2022, from https://www.kaggle.com/new-york-state/nys-assembled-workers’-compensation-claims https://www.ncbi.nlm.nih.gov/pmc/articles/PMC7531934/ </w:t>
      </w:r>
    </w:p>
    <w:p w14:paraId="05C517E2" w14:textId="77777777" w:rsidR="004A0CF0" w:rsidRPr="00CB7684" w:rsidRDefault="004A0CF0" w:rsidP="00E514CC">
      <w:pPr>
        <w:spacing w:after="0" w:line="240" w:lineRule="auto"/>
        <w:ind w:left="720" w:hanging="720"/>
        <w:textAlignment w:val="baseline"/>
        <w:rPr>
          <w:rFonts w:ascii="Segoe UI" w:eastAsia="Times New Roman" w:hAnsi="Segoe UI" w:cs="Segoe UI"/>
          <w:sz w:val="18"/>
          <w:szCs w:val="18"/>
        </w:rPr>
      </w:pPr>
      <w:r w:rsidRPr="00CB7684">
        <w:rPr>
          <w:rFonts w:ascii="Times New Roman" w:eastAsia="Times New Roman" w:hAnsi="Times New Roman" w:cs="Times New Roman"/>
          <w:color w:val="000000"/>
        </w:rPr>
        <w:t xml:space="preserve">Zoller, H. M. (2009). The social construction of occupational health and safety: Barriers to environmental-labor health coalitions. </w:t>
      </w:r>
      <w:r w:rsidRPr="00CB7684">
        <w:rPr>
          <w:rFonts w:ascii="Times New Roman" w:eastAsia="Times New Roman" w:hAnsi="Times New Roman" w:cs="Times New Roman"/>
          <w:i/>
          <w:iCs/>
          <w:color w:val="000000"/>
        </w:rPr>
        <w:t>NEW SOLUTIONS: A Journal of Environmental and Occupational Health Policy</w:t>
      </w:r>
      <w:r w:rsidRPr="00CB7684">
        <w:rPr>
          <w:rFonts w:ascii="Times New Roman" w:eastAsia="Times New Roman" w:hAnsi="Times New Roman" w:cs="Times New Roman"/>
          <w:color w:val="000000"/>
        </w:rPr>
        <w:t xml:space="preserve">, </w:t>
      </w:r>
      <w:r w:rsidRPr="00CB7684">
        <w:rPr>
          <w:rFonts w:ascii="Times New Roman" w:eastAsia="Times New Roman" w:hAnsi="Times New Roman" w:cs="Times New Roman"/>
          <w:i/>
          <w:iCs/>
          <w:color w:val="000000"/>
        </w:rPr>
        <w:t>19</w:t>
      </w:r>
      <w:r w:rsidRPr="00CB7684">
        <w:rPr>
          <w:rFonts w:ascii="Times New Roman" w:eastAsia="Times New Roman" w:hAnsi="Times New Roman" w:cs="Times New Roman"/>
          <w:color w:val="000000"/>
        </w:rPr>
        <w:t xml:space="preserve">(3), 289–314. </w:t>
      </w:r>
      <w:hyperlink r:id="rId62" w:tgtFrame="_blank" w:history="1">
        <w:r w:rsidRPr="00CB7684">
          <w:rPr>
            <w:rFonts w:ascii="Times New Roman" w:eastAsia="Times New Roman" w:hAnsi="Times New Roman" w:cs="Times New Roman"/>
            <w:color w:val="0563C1"/>
            <w:u w:val="single"/>
          </w:rPr>
          <w:t>https://doi.org/10.2190/ns.19.3.b</w:t>
        </w:r>
      </w:hyperlink>
      <w:r w:rsidRPr="00CB7684">
        <w:rPr>
          <w:rFonts w:ascii="Times New Roman" w:eastAsia="Times New Roman" w:hAnsi="Times New Roman" w:cs="Times New Roman"/>
          <w:color w:val="000000"/>
        </w:rPr>
        <w:t>  </w:t>
      </w:r>
    </w:p>
    <w:p w14:paraId="1898DBA7" w14:textId="381E7A7A" w:rsidR="004A0CF0" w:rsidRDefault="004A0CF0" w:rsidP="00CB7684">
      <w:pPr>
        <w:spacing w:after="0" w:line="240" w:lineRule="auto"/>
        <w:textAlignment w:val="baseline"/>
        <w:rPr>
          <w:rFonts w:ascii="Calibri Light" w:eastAsia="Times New Roman" w:hAnsi="Calibri Light" w:cs="Calibri Light"/>
          <w:color w:val="2F5496"/>
          <w:sz w:val="40"/>
          <w:szCs w:val="40"/>
        </w:rPr>
      </w:pPr>
    </w:p>
    <w:p w14:paraId="044D7D74" w14:textId="2BD28A88" w:rsidR="00E1302D" w:rsidRDefault="00E1302D" w:rsidP="00CB7684">
      <w:pPr>
        <w:spacing w:after="0" w:line="240" w:lineRule="auto"/>
        <w:textAlignment w:val="baseline"/>
        <w:rPr>
          <w:rFonts w:ascii="Calibri Light" w:eastAsia="Times New Roman" w:hAnsi="Calibri Light" w:cs="Calibri Light"/>
          <w:color w:val="2F5496"/>
          <w:sz w:val="40"/>
          <w:szCs w:val="40"/>
        </w:rPr>
      </w:pPr>
    </w:p>
    <w:p w14:paraId="47195082" w14:textId="3132618C" w:rsidR="00E1302D" w:rsidRDefault="00E1302D" w:rsidP="00CB7684">
      <w:pPr>
        <w:spacing w:after="0" w:line="240" w:lineRule="auto"/>
        <w:textAlignment w:val="baseline"/>
        <w:rPr>
          <w:rFonts w:ascii="Calibri Light" w:eastAsia="Times New Roman" w:hAnsi="Calibri Light" w:cs="Calibri Light"/>
          <w:color w:val="2F5496"/>
          <w:sz w:val="40"/>
          <w:szCs w:val="40"/>
        </w:rPr>
      </w:pPr>
    </w:p>
    <w:p w14:paraId="74D4F4EC" w14:textId="28C5035D" w:rsidR="00E1302D" w:rsidRDefault="00E1302D" w:rsidP="00CB7684">
      <w:pPr>
        <w:spacing w:after="0" w:line="240" w:lineRule="auto"/>
        <w:textAlignment w:val="baseline"/>
        <w:rPr>
          <w:rFonts w:ascii="Calibri Light" w:eastAsia="Times New Roman" w:hAnsi="Calibri Light" w:cs="Calibri Light"/>
          <w:color w:val="2F5496"/>
          <w:sz w:val="40"/>
          <w:szCs w:val="40"/>
        </w:rPr>
      </w:pPr>
    </w:p>
    <w:p w14:paraId="291EC38E" w14:textId="1C40DDFA" w:rsidR="00E1302D" w:rsidRDefault="00E1302D" w:rsidP="00CB7684">
      <w:pPr>
        <w:spacing w:after="0" w:line="240" w:lineRule="auto"/>
        <w:textAlignment w:val="baseline"/>
        <w:rPr>
          <w:rFonts w:ascii="Calibri Light" w:eastAsia="Times New Roman" w:hAnsi="Calibri Light" w:cs="Calibri Light"/>
          <w:color w:val="2F5496"/>
          <w:sz w:val="40"/>
          <w:szCs w:val="40"/>
        </w:rPr>
      </w:pPr>
    </w:p>
    <w:p w14:paraId="7F908CEB" w14:textId="677B100D" w:rsidR="00E1302D" w:rsidRDefault="00E1302D" w:rsidP="00CB7684">
      <w:pPr>
        <w:spacing w:after="0" w:line="240" w:lineRule="auto"/>
        <w:textAlignment w:val="baseline"/>
        <w:rPr>
          <w:rFonts w:ascii="Calibri Light" w:eastAsia="Times New Roman" w:hAnsi="Calibri Light" w:cs="Calibri Light"/>
          <w:color w:val="2F5496"/>
          <w:sz w:val="40"/>
          <w:szCs w:val="40"/>
        </w:rPr>
      </w:pPr>
    </w:p>
    <w:p w14:paraId="7723A626" w14:textId="2DAA016F" w:rsidR="00E1302D" w:rsidRDefault="00E1302D" w:rsidP="00CB7684">
      <w:pPr>
        <w:spacing w:after="0" w:line="240" w:lineRule="auto"/>
        <w:textAlignment w:val="baseline"/>
        <w:rPr>
          <w:rFonts w:ascii="Calibri Light" w:eastAsia="Times New Roman" w:hAnsi="Calibri Light" w:cs="Calibri Light"/>
          <w:color w:val="2F5496"/>
          <w:sz w:val="40"/>
          <w:szCs w:val="40"/>
        </w:rPr>
      </w:pPr>
    </w:p>
    <w:p w14:paraId="6E05BC17" w14:textId="6D0DA41B" w:rsidR="00E1302D" w:rsidRDefault="00E1302D" w:rsidP="00CB7684">
      <w:pPr>
        <w:spacing w:after="0" w:line="240" w:lineRule="auto"/>
        <w:textAlignment w:val="baseline"/>
        <w:rPr>
          <w:rFonts w:ascii="Calibri Light" w:eastAsia="Times New Roman" w:hAnsi="Calibri Light" w:cs="Calibri Light"/>
          <w:color w:val="2F5496"/>
          <w:sz w:val="40"/>
          <w:szCs w:val="40"/>
        </w:rPr>
      </w:pPr>
    </w:p>
    <w:p w14:paraId="3F5D936C" w14:textId="03ED7A91" w:rsidR="00E1302D" w:rsidRDefault="00E1302D" w:rsidP="00CB7684">
      <w:pPr>
        <w:spacing w:after="0" w:line="240" w:lineRule="auto"/>
        <w:textAlignment w:val="baseline"/>
        <w:rPr>
          <w:rFonts w:ascii="Calibri Light" w:eastAsia="Times New Roman" w:hAnsi="Calibri Light" w:cs="Calibri Light"/>
          <w:color w:val="2F5496"/>
          <w:sz w:val="40"/>
          <w:szCs w:val="40"/>
        </w:rPr>
      </w:pPr>
    </w:p>
    <w:p w14:paraId="4883C878" w14:textId="02AE7B7D" w:rsidR="00E1302D" w:rsidRDefault="00E1302D" w:rsidP="00CB7684">
      <w:pPr>
        <w:spacing w:after="0" w:line="240" w:lineRule="auto"/>
        <w:textAlignment w:val="baseline"/>
        <w:rPr>
          <w:rFonts w:ascii="Calibri Light" w:eastAsia="Times New Roman" w:hAnsi="Calibri Light" w:cs="Calibri Light"/>
          <w:color w:val="2F5496"/>
          <w:sz w:val="40"/>
          <w:szCs w:val="40"/>
        </w:rPr>
      </w:pPr>
    </w:p>
    <w:p w14:paraId="7AC4205B" w14:textId="511A3ADF" w:rsidR="00E1302D" w:rsidRDefault="00E1302D" w:rsidP="00CB7684">
      <w:pPr>
        <w:spacing w:after="0" w:line="240" w:lineRule="auto"/>
        <w:textAlignment w:val="baseline"/>
        <w:rPr>
          <w:rFonts w:ascii="Calibri Light" w:eastAsia="Times New Roman" w:hAnsi="Calibri Light" w:cs="Calibri Light"/>
          <w:color w:val="2F5496"/>
          <w:sz w:val="40"/>
          <w:szCs w:val="40"/>
        </w:rPr>
      </w:pPr>
    </w:p>
    <w:p w14:paraId="7651587F" w14:textId="29BCF806" w:rsidR="00E1302D" w:rsidRDefault="00E1302D" w:rsidP="00CB7684">
      <w:pPr>
        <w:spacing w:after="0" w:line="240" w:lineRule="auto"/>
        <w:textAlignment w:val="baseline"/>
        <w:rPr>
          <w:rFonts w:ascii="Calibri Light" w:eastAsia="Times New Roman" w:hAnsi="Calibri Light" w:cs="Calibri Light"/>
          <w:color w:val="2F5496"/>
          <w:sz w:val="40"/>
          <w:szCs w:val="40"/>
        </w:rPr>
      </w:pPr>
    </w:p>
    <w:p w14:paraId="5183C9A2" w14:textId="47DB2252" w:rsidR="00E1302D" w:rsidRDefault="00E1302D" w:rsidP="00CB7684">
      <w:pPr>
        <w:spacing w:after="0" w:line="240" w:lineRule="auto"/>
        <w:textAlignment w:val="baseline"/>
        <w:rPr>
          <w:rFonts w:ascii="Calibri Light" w:eastAsia="Times New Roman" w:hAnsi="Calibri Light" w:cs="Calibri Light"/>
          <w:color w:val="2F5496"/>
          <w:sz w:val="40"/>
          <w:szCs w:val="40"/>
        </w:rPr>
      </w:pPr>
    </w:p>
    <w:p w14:paraId="3CC06ECB" w14:textId="3D6734C4" w:rsidR="00E1302D" w:rsidRDefault="00E1302D" w:rsidP="00CB7684">
      <w:pPr>
        <w:spacing w:after="0" w:line="240" w:lineRule="auto"/>
        <w:textAlignment w:val="baseline"/>
        <w:rPr>
          <w:rFonts w:ascii="Calibri Light" w:eastAsia="Times New Roman" w:hAnsi="Calibri Light" w:cs="Calibri Light"/>
          <w:color w:val="2F5496"/>
          <w:sz w:val="40"/>
          <w:szCs w:val="40"/>
        </w:rPr>
      </w:pPr>
    </w:p>
    <w:p w14:paraId="3B6026EF" w14:textId="72C26F98" w:rsidR="00E1302D" w:rsidRDefault="00E1302D" w:rsidP="00CB7684">
      <w:pPr>
        <w:spacing w:after="0" w:line="240" w:lineRule="auto"/>
        <w:textAlignment w:val="baseline"/>
        <w:rPr>
          <w:rFonts w:ascii="Calibri Light" w:eastAsia="Times New Roman" w:hAnsi="Calibri Light" w:cs="Calibri Light"/>
          <w:color w:val="2F5496"/>
          <w:sz w:val="40"/>
          <w:szCs w:val="40"/>
        </w:rPr>
      </w:pPr>
    </w:p>
    <w:p w14:paraId="28401314" w14:textId="3D28BFA8" w:rsidR="00E1302D" w:rsidRDefault="00E1302D" w:rsidP="00CB7684">
      <w:pPr>
        <w:spacing w:after="0" w:line="240" w:lineRule="auto"/>
        <w:textAlignment w:val="baseline"/>
        <w:rPr>
          <w:rFonts w:ascii="Calibri Light" w:eastAsia="Times New Roman" w:hAnsi="Calibri Light" w:cs="Calibri Light"/>
          <w:color w:val="2F5496"/>
          <w:sz w:val="40"/>
          <w:szCs w:val="40"/>
        </w:rPr>
      </w:pPr>
    </w:p>
    <w:p w14:paraId="5F4D5E41" w14:textId="3625D5BB" w:rsidR="00E1302D" w:rsidRDefault="00E1302D" w:rsidP="00CB7684">
      <w:pPr>
        <w:spacing w:after="0" w:line="240" w:lineRule="auto"/>
        <w:textAlignment w:val="baseline"/>
        <w:rPr>
          <w:rFonts w:ascii="Calibri Light" w:eastAsia="Times New Roman" w:hAnsi="Calibri Light" w:cs="Calibri Light"/>
          <w:color w:val="2F5496"/>
          <w:sz w:val="40"/>
          <w:szCs w:val="40"/>
        </w:rPr>
      </w:pPr>
    </w:p>
    <w:p w14:paraId="648532E9" w14:textId="64FEF586" w:rsidR="00E1302D" w:rsidRDefault="00E1302D" w:rsidP="00CB7684">
      <w:pPr>
        <w:spacing w:after="0" w:line="240" w:lineRule="auto"/>
        <w:textAlignment w:val="baseline"/>
        <w:rPr>
          <w:rFonts w:ascii="Calibri Light" w:eastAsia="Times New Roman" w:hAnsi="Calibri Light" w:cs="Calibri Light"/>
          <w:color w:val="2F5496"/>
          <w:sz w:val="40"/>
          <w:szCs w:val="40"/>
        </w:rPr>
      </w:pPr>
    </w:p>
    <w:p w14:paraId="241E1090" w14:textId="77777777" w:rsidR="00E1302D" w:rsidRDefault="00E1302D" w:rsidP="00CB7684">
      <w:pPr>
        <w:spacing w:after="0" w:line="240" w:lineRule="auto"/>
        <w:textAlignment w:val="baseline"/>
        <w:rPr>
          <w:rFonts w:ascii="Calibri Light" w:eastAsia="Times New Roman" w:hAnsi="Calibri Light" w:cs="Calibri Light"/>
          <w:color w:val="2F5496"/>
          <w:sz w:val="40"/>
          <w:szCs w:val="40"/>
        </w:rPr>
      </w:pPr>
    </w:p>
    <w:p w14:paraId="21B6AF5D" w14:textId="77777777" w:rsidR="004A0CF0" w:rsidRDefault="004A0CF0" w:rsidP="00CB7684">
      <w:pPr>
        <w:spacing w:after="0" w:line="240" w:lineRule="auto"/>
        <w:textAlignment w:val="baseline"/>
        <w:rPr>
          <w:rFonts w:ascii="Calibri Light" w:eastAsia="Times New Roman" w:hAnsi="Calibri Light" w:cs="Calibri Light"/>
          <w:color w:val="2F5496"/>
          <w:sz w:val="40"/>
          <w:szCs w:val="40"/>
        </w:rPr>
      </w:pPr>
    </w:p>
    <w:p w14:paraId="77B5B954" w14:textId="3B2F5402" w:rsidR="00CB7684" w:rsidRPr="00F44081" w:rsidRDefault="00CB7684" w:rsidP="00CB7684">
      <w:pPr>
        <w:spacing w:after="0" w:line="240" w:lineRule="auto"/>
        <w:textAlignment w:val="baseline"/>
        <w:rPr>
          <w:rFonts w:ascii="Calibri Light" w:eastAsia="Times New Roman" w:hAnsi="Calibri Light" w:cs="Calibri Light"/>
          <w:color w:val="2F5496"/>
          <w:sz w:val="40"/>
          <w:szCs w:val="40"/>
        </w:rPr>
      </w:pPr>
      <w:r w:rsidRPr="00CB7684">
        <w:rPr>
          <w:rFonts w:ascii="Calibri Light" w:eastAsia="Times New Roman" w:hAnsi="Calibri Light" w:cs="Calibri Light"/>
          <w:color w:val="2F5496"/>
          <w:sz w:val="40"/>
          <w:szCs w:val="40"/>
        </w:rPr>
        <w:lastRenderedPageBreak/>
        <w:t>Appendix  </w:t>
      </w:r>
    </w:p>
    <w:p w14:paraId="1193C67A" w14:textId="54E89D26" w:rsidR="00CB7684" w:rsidRPr="00CB7684" w:rsidRDefault="00F44081" w:rsidP="00F44081">
      <w:pPr>
        <w:pStyle w:val="Heading2"/>
        <w:rPr>
          <w:rFonts w:ascii="Segoe UI" w:hAnsi="Segoe UI" w:cs="Segoe UI"/>
          <w:sz w:val="18"/>
          <w:szCs w:val="18"/>
        </w:rPr>
      </w:pPr>
      <w:bookmarkStart w:id="133" w:name="_Toc102048605"/>
      <w:r>
        <w:t xml:space="preserve">Appendix A: </w:t>
      </w:r>
      <w:r w:rsidR="00CB7684" w:rsidRPr="00CB7684">
        <w:t>Summary of terms and definitions utilized</w:t>
      </w:r>
      <w:bookmarkEnd w:id="133"/>
      <w:r w:rsidR="00CB7684" w:rsidRPr="00CB7684">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CB7684" w:rsidRPr="00CB7684" w14:paraId="354871E4" w14:textId="77777777" w:rsidTr="00CB7684">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6D31ECA4" w14:textId="77777777" w:rsidR="00CB7684" w:rsidRPr="00CB7684" w:rsidRDefault="00CB7684" w:rsidP="00CB7684">
            <w:pPr>
              <w:spacing w:after="0" w:line="240" w:lineRule="auto"/>
              <w:jc w:val="center"/>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b/>
                <w:bCs/>
                <w:sz w:val="32"/>
                <w:szCs w:val="32"/>
              </w:rPr>
              <w:t>Term</w:t>
            </w:r>
            <w:r w:rsidRPr="00CB7684">
              <w:rPr>
                <w:rFonts w:ascii="Times New Roman" w:eastAsia="Times New Roman" w:hAnsi="Times New Roman" w:cs="Times New Roman"/>
                <w:sz w:val="32"/>
                <w:szCs w:val="32"/>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2F5043DE" w14:textId="77777777" w:rsidR="00CB7684" w:rsidRPr="00CB7684" w:rsidRDefault="00CB7684" w:rsidP="00CB7684">
            <w:pPr>
              <w:spacing w:after="0" w:line="240" w:lineRule="auto"/>
              <w:jc w:val="center"/>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b/>
                <w:bCs/>
                <w:sz w:val="32"/>
                <w:szCs w:val="32"/>
              </w:rPr>
              <w:t>Definition</w:t>
            </w:r>
            <w:r w:rsidRPr="00CB7684">
              <w:rPr>
                <w:rFonts w:ascii="Times New Roman" w:eastAsia="Times New Roman" w:hAnsi="Times New Roman" w:cs="Times New Roman"/>
                <w:sz w:val="32"/>
                <w:szCs w:val="32"/>
              </w:rPr>
              <w:t> </w:t>
            </w:r>
          </w:p>
        </w:tc>
      </w:tr>
      <w:tr w:rsidR="00CB7684" w:rsidRPr="00CB7684" w14:paraId="10192550" w14:textId="77777777" w:rsidTr="00CB7684">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3746144A" w14:textId="77777777" w:rsidR="00CB7684" w:rsidRPr="00CB7684" w:rsidRDefault="00CB7684" w:rsidP="00CB7684">
            <w:pPr>
              <w:spacing w:after="0" w:line="240" w:lineRule="auto"/>
              <w:jc w:val="center"/>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b/>
                <w:bCs/>
                <w:sz w:val="24"/>
                <w:szCs w:val="24"/>
              </w:rPr>
              <w:t>Safety grade</w:t>
            </w:r>
            <w:r w:rsidRPr="00CB7684">
              <w:rPr>
                <w:rFonts w:ascii="Times New Roman" w:eastAsia="Times New Roman" w:hAnsi="Times New Roman" w:cs="Times New Roman"/>
                <w:sz w:val="24"/>
                <w:szCs w:val="24"/>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16853A45"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sz w:val="24"/>
                <w:szCs w:val="24"/>
              </w:rPr>
              <w:t>A numerical value which represents hospital’s ability to meet national standards (in reference to the Medicare data) </w:t>
            </w:r>
          </w:p>
        </w:tc>
      </w:tr>
      <w:tr w:rsidR="00CB7684" w:rsidRPr="00CB7684" w14:paraId="51690A0A" w14:textId="77777777" w:rsidTr="00CB7684">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2FB9230A" w14:textId="77777777" w:rsidR="00CB7684" w:rsidRPr="00CB7684" w:rsidRDefault="00CB7684" w:rsidP="00CB7684">
            <w:pPr>
              <w:spacing w:after="0" w:line="240" w:lineRule="auto"/>
              <w:jc w:val="center"/>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b/>
                <w:bCs/>
                <w:sz w:val="24"/>
                <w:szCs w:val="24"/>
              </w:rPr>
              <w:t>Injury count</w:t>
            </w:r>
            <w:r w:rsidRPr="00CB7684">
              <w:rPr>
                <w:rFonts w:ascii="Times New Roman" w:eastAsia="Times New Roman" w:hAnsi="Times New Roman" w:cs="Times New Roman"/>
                <w:sz w:val="24"/>
                <w:szCs w:val="24"/>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6C81FA37"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sz w:val="24"/>
                <w:szCs w:val="24"/>
              </w:rPr>
              <w:t>The number of occupational injuries recorded within a 10-mile radius of the hospitals examined  </w:t>
            </w:r>
          </w:p>
        </w:tc>
      </w:tr>
      <w:tr w:rsidR="00CB7684" w:rsidRPr="00CB7684" w14:paraId="6C70FDC8" w14:textId="77777777" w:rsidTr="00CB7684">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45B2F76D" w14:textId="77777777" w:rsidR="00CB7684" w:rsidRPr="00CB7684" w:rsidRDefault="00CB7684" w:rsidP="00CB7684">
            <w:pPr>
              <w:spacing w:after="0" w:line="240" w:lineRule="auto"/>
              <w:jc w:val="center"/>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b/>
                <w:bCs/>
                <w:sz w:val="24"/>
                <w:szCs w:val="24"/>
              </w:rPr>
              <w:t>Population</w:t>
            </w:r>
            <w:r w:rsidRPr="00CB7684">
              <w:rPr>
                <w:rFonts w:ascii="Times New Roman" w:eastAsia="Times New Roman" w:hAnsi="Times New Roman" w:cs="Times New Roman"/>
                <w:sz w:val="24"/>
                <w:szCs w:val="24"/>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7DCAE99C"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sz w:val="24"/>
                <w:szCs w:val="24"/>
              </w:rPr>
              <w:t>The number that appeared from a Google search “zip code,” and “population.”  </w:t>
            </w:r>
          </w:p>
        </w:tc>
      </w:tr>
      <w:tr w:rsidR="00CB7684" w:rsidRPr="00CB7684" w14:paraId="22B0CCD7" w14:textId="77777777" w:rsidTr="00CB7684">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45C4C217" w14:textId="77777777" w:rsidR="00CB7684" w:rsidRPr="00CB7684" w:rsidRDefault="00CB7684" w:rsidP="00CB7684">
            <w:pPr>
              <w:spacing w:after="0" w:line="240" w:lineRule="auto"/>
              <w:jc w:val="center"/>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b/>
                <w:bCs/>
                <w:sz w:val="24"/>
                <w:szCs w:val="24"/>
              </w:rPr>
              <w:t>Number of beds</w:t>
            </w:r>
            <w:r w:rsidRPr="00CB7684">
              <w:rPr>
                <w:rFonts w:ascii="Times New Roman" w:eastAsia="Times New Roman" w:hAnsi="Times New Roman" w:cs="Times New Roman"/>
                <w:sz w:val="24"/>
                <w:szCs w:val="24"/>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2856BD81"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sz w:val="24"/>
                <w:szCs w:val="24"/>
              </w:rPr>
              <w:t>The number of staffed beds according to the American Hospital Directory  </w:t>
            </w:r>
          </w:p>
        </w:tc>
      </w:tr>
      <w:tr w:rsidR="00CB7684" w:rsidRPr="00CB7684" w14:paraId="0748A4B8" w14:textId="77777777" w:rsidTr="00CB7684">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73AF18D0" w14:textId="77777777" w:rsidR="00CB7684" w:rsidRPr="00CB7684" w:rsidRDefault="00CB7684" w:rsidP="00CB7684">
            <w:pPr>
              <w:spacing w:after="0" w:line="240" w:lineRule="auto"/>
              <w:jc w:val="center"/>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b/>
                <w:bCs/>
                <w:sz w:val="24"/>
                <w:szCs w:val="24"/>
              </w:rPr>
              <w:t>Zip codes</w:t>
            </w:r>
            <w:r w:rsidRPr="00CB7684">
              <w:rPr>
                <w:rFonts w:ascii="Times New Roman" w:eastAsia="Times New Roman" w:hAnsi="Times New Roman" w:cs="Times New Roman"/>
                <w:sz w:val="24"/>
                <w:szCs w:val="24"/>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1F57D30F"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sz w:val="24"/>
                <w:szCs w:val="24"/>
              </w:rPr>
              <w:t>These were used to combine the injury count and safety grades. The zip codes within a 10-mile radius of the hospitals were determined. Subsequently, the number of injuries were counted in each zip code and overlayed with the safety grades.  </w:t>
            </w:r>
          </w:p>
        </w:tc>
      </w:tr>
      <w:tr w:rsidR="00CB7684" w:rsidRPr="00CB7684" w14:paraId="081D826E" w14:textId="77777777" w:rsidTr="00CB7684">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08E3D826" w14:textId="77777777" w:rsidR="00CB7684" w:rsidRPr="00CB7684" w:rsidRDefault="00CB7684" w:rsidP="00CB7684">
            <w:pPr>
              <w:spacing w:after="0" w:line="240" w:lineRule="auto"/>
              <w:jc w:val="center"/>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b/>
                <w:bCs/>
                <w:sz w:val="24"/>
                <w:szCs w:val="24"/>
              </w:rPr>
              <w:t>Measurement robustness</w:t>
            </w:r>
            <w:r w:rsidRPr="00CB7684">
              <w:rPr>
                <w:rFonts w:ascii="Times New Roman" w:eastAsia="Times New Roman" w:hAnsi="Times New Roman" w:cs="Times New Roman"/>
                <w:sz w:val="24"/>
                <w:szCs w:val="24"/>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27E7F137"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sz w:val="24"/>
                <w:szCs w:val="24"/>
              </w:rPr>
              <w:t>Measure of the hospital’s capacity to report their data. It is identified by the number of Medicare categories for which the hospital reports complete data.  </w:t>
            </w:r>
          </w:p>
        </w:tc>
      </w:tr>
    </w:tbl>
    <w:p w14:paraId="6F217952" w14:textId="77777777" w:rsidR="00CB7684" w:rsidRPr="00CB7684" w:rsidRDefault="00CB7684" w:rsidP="00CB7684">
      <w:pPr>
        <w:spacing w:after="0" w:line="240" w:lineRule="auto"/>
        <w:textAlignment w:val="baseline"/>
        <w:rPr>
          <w:rFonts w:ascii="Segoe UI" w:eastAsia="Times New Roman" w:hAnsi="Segoe UI" w:cs="Segoe UI"/>
          <w:sz w:val="18"/>
          <w:szCs w:val="18"/>
        </w:rPr>
      </w:pPr>
      <w:r w:rsidRPr="00CB7684">
        <w:rPr>
          <w:rFonts w:ascii="Calibri" w:eastAsia="Times New Roman" w:hAnsi="Calibri" w:cs="Calibri"/>
        </w:rPr>
        <w:t> </w:t>
      </w:r>
    </w:p>
    <w:p w14:paraId="723823F1" w14:textId="4262A8B5" w:rsidR="00CB7684" w:rsidRPr="00CB7684" w:rsidRDefault="00F44081" w:rsidP="00F44081">
      <w:pPr>
        <w:pStyle w:val="Heading2"/>
        <w:rPr>
          <w:rFonts w:ascii="Segoe UI" w:hAnsi="Segoe UI" w:cs="Segoe UI"/>
          <w:sz w:val="18"/>
          <w:szCs w:val="18"/>
        </w:rPr>
      </w:pPr>
      <w:bookmarkStart w:id="134" w:name="_Toc102048606"/>
      <w:r>
        <w:t xml:space="preserve">Appendix B: </w:t>
      </w:r>
      <w:r w:rsidR="00CB7684" w:rsidRPr="00CB7684">
        <w:t>The common procedures</w:t>
      </w:r>
      <w:r w:rsidR="00BE7A60">
        <w:t xml:space="preserve"> </w:t>
      </w:r>
      <w:r w:rsidR="00E514CC">
        <w:t>defined in</w:t>
      </w:r>
      <w:r w:rsidR="00CB7684" w:rsidRPr="00CB7684">
        <w:t xml:space="preserve"> the Medicare website (Medicare.gov, 2022)</w:t>
      </w:r>
      <w:bookmarkEnd w:id="134"/>
      <w:r w:rsidR="00CB7684" w:rsidRPr="00CB7684">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2"/>
        <w:gridCol w:w="4672"/>
      </w:tblGrid>
      <w:tr w:rsidR="00CB7684" w:rsidRPr="00CB7684" w14:paraId="0BC98118" w14:textId="77777777" w:rsidTr="00CB7684">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EC7B6C7"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b/>
                <w:bCs/>
                <w:sz w:val="24"/>
                <w:szCs w:val="24"/>
              </w:rPr>
              <w:t>Criteria </w:t>
            </w:r>
            <w:r w:rsidRPr="00CB7684">
              <w:rPr>
                <w:rFonts w:ascii="Times New Roman" w:eastAsia="Times New Roman" w:hAnsi="Times New Roman" w:cs="Times New Roman"/>
                <w:sz w:val="24"/>
                <w:szCs w:val="24"/>
              </w:rPr>
              <w:t>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EBBF596"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b/>
                <w:bCs/>
                <w:sz w:val="24"/>
                <w:szCs w:val="24"/>
              </w:rPr>
              <w:t>Definition </w:t>
            </w:r>
            <w:r w:rsidRPr="00CB7684">
              <w:rPr>
                <w:rFonts w:ascii="Times New Roman" w:eastAsia="Times New Roman" w:hAnsi="Times New Roman" w:cs="Times New Roman"/>
                <w:sz w:val="24"/>
                <w:szCs w:val="24"/>
              </w:rPr>
              <w:t> </w:t>
            </w:r>
          </w:p>
        </w:tc>
      </w:tr>
      <w:tr w:rsidR="00CB7684" w:rsidRPr="00CB7684" w14:paraId="2132AE92" w14:textId="77777777" w:rsidTr="00CB7684">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4C6A2419"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sz w:val="24"/>
                <w:szCs w:val="24"/>
              </w:rPr>
              <w:t>Rate of complications for hip/knee replacement patients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EF7BDA2"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sz w:val="24"/>
                <w:szCs w:val="24"/>
              </w:rPr>
              <w:t xml:space="preserve">Complications included in this measure </w:t>
            </w:r>
            <w:proofErr w:type="gramStart"/>
            <w:r w:rsidRPr="00CB7684">
              <w:rPr>
                <w:rFonts w:ascii="Times New Roman" w:eastAsia="Times New Roman" w:hAnsi="Times New Roman" w:cs="Times New Roman"/>
                <w:sz w:val="24"/>
                <w:szCs w:val="24"/>
              </w:rPr>
              <w:t>are:</w:t>
            </w:r>
            <w:proofErr w:type="gramEnd"/>
            <w:r w:rsidRPr="00CB7684">
              <w:rPr>
                <w:rFonts w:ascii="Times New Roman" w:eastAsia="Times New Roman" w:hAnsi="Times New Roman" w:cs="Times New Roman"/>
                <w:sz w:val="24"/>
                <w:szCs w:val="24"/>
              </w:rPr>
              <w:t xml:space="preserve"> infection, heart attack, pneumonia, wounds that split open or bleed after surgery, serious blood clots, replacement hip/knee joints that don’t work, and death (Medicare.gov, 2022). </w:t>
            </w:r>
          </w:p>
        </w:tc>
      </w:tr>
      <w:tr w:rsidR="00CB7684" w:rsidRPr="00CB7684" w14:paraId="08B70AA9" w14:textId="77777777" w:rsidTr="00CB7684">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305FCBCA"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sz w:val="24"/>
                <w:szCs w:val="24"/>
              </w:rPr>
              <w:t>Serious complications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6619D96D"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sz w:val="24"/>
                <w:szCs w:val="24"/>
              </w:rPr>
              <w:t>Complications may be a sign of poorer quality hospital care (Medicare.gov, 2022). </w:t>
            </w:r>
          </w:p>
        </w:tc>
      </w:tr>
      <w:tr w:rsidR="00CB7684" w:rsidRPr="00CB7684" w14:paraId="7745D29D" w14:textId="77777777" w:rsidTr="00CB7684">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120A39F"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sz w:val="24"/>
                <w:szCs w:val="24"/>
              </w:rPr>
              <w:t>Deaths among patients with serious treatable complications after surgery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0C320DBD"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sz w:val="24"/>
                <w:szCs w:val="24"/>
              </w:rPr>
              <w:t>Refers to surgical patients who died after developing serious complications that could have been treated (Medicare.gov, 2022). </w:t>
            </w:r>
          </w:p>
        </w:tc>
      </w:tr>
      <w:tr w:rsidR="00CB7684" w:rsidRPr="00CB7684" w14:paraId="3C72F990" w14:textId="77777777" w:rsidTr="00CB7684">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4CADD1C3"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sz w:val="24"/>
                <w:szCs w:val="24"/>
              </w:rPr>
              <w:t>Central line-associated blood stream infections (CLABSI) in ICUs and select wards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43550214"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sz w:val="24"/>
                <w:szCs w:val="24"/>
              </w:rPr>
              <w:t xml:space="preserve">A central line is a narrow tube inserted into a large blood vessel. When inserted incorrectly or </w:t>
            </w:r>
            <w:r w:rsidRPr="00CB7684">
              <w:rPr>
                <w:rFonts w:ascii="Times New Roman" w:eastAsia="Times New Roman" w:hAnsi="Times New Roman" w:cs="Times New Roman"/>
                <w:sz w:val="24"/>
                <w:szCs w:val="24"/>
              </w:rPr>
              <w:lastRenderedPageBreak/>
              <w:t>not kept clean, central lines can become an easy way for germs to enter the body and cause serious infections, CLABSIs, in the blood. </w:t>
            </w:r>
          </w:p>
          <w:p w14:paraId="2F3D83BF"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sz w:val="24"/>
                <w:szCs w:val="24"/>
              </w:rPr>
              <w:t> </w:t>
            </w:r>
          </w:p>
          <w:p w14:paraId="65F3FEFE"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sz w:val="24"/>
                <w:szCs w:val="24"/>
              </w:rPr>
              <w:t xml:space="preserve">Include intensive care units (ICUs), neonatal intensive care units (NICUs), and adult and pediatric medical, </w:t>
            </w:r>
            <w:proofErr w:type="gramStart"/>
            <w:r w:rsidRPr="00CB7684">
              <w:rPr>
                <w:rFonts w:ascii="Times New Roman" w:eastAsia="Times New Roman" w:hAnsi="Times New Roman" w:cs="Times New Roman"/>
                <w:sz w:val="24"/>
                <w:szCs w:val="24"/>
              </w:rPr>
              <w:t>surgical</w:t>
            </w:r>
            <w:proofErr w:type="gramEnd"/>
            <w:r w:rsidRPr="00CB7684">
              <w:rPr>
                <w:rFonts w:ascii="Times New Roman" w:eastAsia="Times New Roman" w:hAnsi="Times New Roman" w:cs="Times New Roman"/>
                <w:sz w:val="24"/>
                <w:szCs w:val="24"/>
              </w:rPr>
              <w:t xml:space="preserve"> and medical/surgical wards (Medicare.gov, 2022). </w:t>
            </w:r>
          </w:p>
          <w:p w14:paraId="5C8A307C"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sz w:val="24"/>
                <w:szCs w:val="24"/>
              </w:rPr>
              <w:t> </w:t>
            </w:r>
          </w:p>
        </w:tc>
      </w:tr>
      <w:tr w:rsidR="00CB7684" w:rsidRPr="00CB7684" w14:paraId="7F551A62" w14:textId="77777777" w:rsidTr="00CB7684">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21DCCE19"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sz w:val="24"/>
                <w:szCs w:val="24"/>
              </w:rPr>
              <w:lastRenderedPageBreak/>
              <w:t>Catheter-associated urinary tract infections (CAUTI) in ICU’s and select wards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2EDB652F"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sz w:val="24"/>
                <w:szCs w:val="24"/>
              </w:rPr>
              <w:t>A catheter is a drainage tube inserted into a patient’s bladder through the urethra and left in place to collect urine. When put incorrectly, kept clean, or when left in place for long periods of time, catheters can become an easy way for germs to enter the body and cause serious infections in the urinary  </w:t>
            </w:r>
          </w:p>
          <w:p w14:paraId="31C57638"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sz w:val="24"/>
                <w:szCs w:val="24"/>
              </w:rPr>
              <w:t>Include ICUs and adult and pediatric medical, surgical, and medical/surgical wards (Medicare.gov, 2022). </w:t>
            </w:r>
          </w:p>
        </w:tc>
      </w:tr>
      <w:tr w:rsidR="00CB7684" w:rsidRPr="00CB7684" w14:paraId="7076BB77" w14:textId="77777777" w:rsidTr="00CB7684">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7EE20BD9"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sz w:val="24"/>
                <w:szCs w:val="24"/>
              </w:rPr>
              <w:t>Surgical site infections (SSI) from colon surgery or from abnormal hysterectomy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40ED738D"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sz w:val="24"/>
                <w:szCs w:val="24"/>
              </w:rPr>
              <w:t>Compares the number of surgical site infections from specific types of operative procedures conducted at a hospital to a national benchmark (Medicare.gov, 2022) </w:t>
            </w:r>
          </w:p>
        </w:tc>
      </w:tr>
      <w:tr w:rsidR="00CB7684" w:rsidRPr="00CB7684" w14:paraId="6115B3CF" w14:textId="77777777" w:rsidTr="00CB7684">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602BCDE"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sz w:val="24"/>
                <w:szCs w:val="24"/>
              </w:rPr>
              <w:t xml:space="preserve">Methicillin-resistant </w:t>
            </w:r>
            <w:r w:rsidRPr="00CB7684">
              <w:rPr>
                <w:rFonts w:ascii="Times New Roman" w:eastAsia="Times New Roman" w:hAnsi="Times New Roman" w:cs="Times New Roman"/>
                <w:i/>
                <w:iCs/>
                <w:sz w:val="24"/>
                <w:szCs w:val="24"/>
              </w:rPr>
              <w:t>Staphylococcus Aureus</w:t>
            </w:r>
            <w:r w:rsidRPr="00CB7684">
              <w:rPr>
                <w:rFonts w:ascii="Times New Roman" w:eastAsia="Times New Roman" w:hAnsi="Times New Roman" w:cs="Times New Roman"/>
                <w:sz w:val="24"/>
                <w:szCs w:val="24"/>
              </w:rPr>
              <w:t xml:space="preserve"> (MRSA) blood infections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02145536"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sz w:val="24"/>
                <w:szCs w:val="24"/>
              </w:rPr>
              <w:t xml:space="preserve">MRSA is a type of bacteria that is resistant to certain antibiotics. Hospital staff can prevent MRSA from being transmitted to patients by taking certain precautions, like washing hands; using protecting gloves and gowns; sterilizing equipment between patients </w:t>
            </w:r>
            <w:proofErr w:type="spellStart"/>
            <w:r w:rsidRPr="00CB7684">
              <w:rPr>
                <w:rFonts w:ascii="Times New Roman" w:eastAsia="Times New Roman" w:hAnsi="Times New Roman" w:cs="Times New Roman"/>
                <w:sz w:val="24"/>
                <w:szCs w:val="24"/>
              </w:rPr>
              <w:t>etc</w:t>
            </w:r>
            <w:proofErr w:type="spellEnd"/>
            <w:r w:rsidRPr="00CB7684">
              <w:rPr>
                <w:rFonts w:ascii="Times New Roman" w:eastAsia="Times New Roman" w:hAnsi="Times New Roman" w:cs="Times New Roman"/>
                <w:sz w:val="24"/>
                <w:szCs w:val="24"/>
              </w:rPr>
              <w:t>… (Medicare.gov, 2022). </w:t>
            </w:r>
          </w:p>
        </w:tc>
      </w:tr>
      <w:tr w:rsidR="00CB7684" w:rsidRPr="00CB7684" w14:paraId="78FB153F" w14:textId="77777777" w:rsidTr="00CB7684">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89FF913"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i/>
                <w:iCs/>
                <w:sz w:val="24"/>
                <w:szCs w:val="24"/>
              </w:rPr>
              <w:t>Clostridium difficile</w:t>
            </w:r>
            <w:r w:rsidRPr="00CB7684">
              <w:rPr>
                <w:rFonts w:ascii="Times New Roman" w:eastAsia="Times New Roman" w:hAnsi="Times New Roman" w:cs="Times New Roman"/>
                <w:sz w:val="24"/>
                <w:szCs w:val="24"/>
              </w:rPr>
              <w:t xml:space="preserve"> (</w:t>
            </w:r>
            <w:r w:rsidRPr="00CB7684">
              <w:rPr>
                <w:rFonts w:ascii="Times New Roman" w:eastAsia="Times New Roman" w:hAnsi="Times New Roman" w:cs="Times New Roman"/>
                <w:i/>
                <w:iCs/>
                <w:sz w:val="24"/>
                <w:szCs w:val="24"/>
              </w:rPr>
              <w:t>C. diff</w:t>
            </w:r>
            <w:r w:rsidRPr="00CB7684">
              <w:rPr>
                <w:rFonts w:ascii="Times New Roman" w:eastAsia="Times New Roman" w:hAnsi="Times New Roman" w:cs="Times New Roman"/>
                <w:sz w:val="24"/>
                <w:szCs w:val="24"/>
              </w:rPr>
              <w:t>) intestinal infections </w:t>
            </w:r>
          </w:p>
        </w:t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4C231575" w14:textId="77777777" w:rsidR="00CB7684" w:rsidRPr="00CB7684" w:rsidRDefault="00CB7684" w:rsidP="00CB7684">
            <w:pPr>
              <w:spacing w:after="0" w:line="240" w:lineRule="auto"/>
              <w:textAlignment w:val="baseline"/>
              <w:rPr>
                <w:rFonts w:ascii="Times New Roman" w:eastAsia="Times New Roman" w:hAnsi="Times New Roman" w:cs="Times New Roman"/>
                <w:sz w:val="24"/>
                <w:szCs w:val="24"/>
              </w:rPr>
            </w:pPr>
            <w:r w:rsidRPr="00CB7684">
              <w:rPr>
                <w:rFonts w:ascii="Times New Roman" w:eastAsia="Times New Roman" w:hAnsi="Times New Roman" w:cs="Times New Roman"/>
                <w:i/>
                <w:iCs/>
                <w:sz w:val="24"/>
                <w:szCs w:val="24"/>
              </w:rPr>
              <w:t xml:space="preserve">C. diff </w:t>
            </w:r>
            <w:r w:rsidRPr="00CB7684">
              <w:rPr>
                <w:rFonts w:ascii="Times New Roman" w:eastAsia="Times New Roman" w:hAnsi="Times New Roman" w:cs="Times New Roman"/>
                <w:sz w:val="24"/>
                <w:szCs w:val="24"/>
              </w:rPr>
              <w:t xml:space="preserve">is a type of bacteria that causes inflammation of the colon. Hospital staff can prevent </w:t>
            </w:r>
            <w:r w:rsidRPr="00CB7684">
              <w:rPr>
                <w:rFonts w:ascii="Times New Roman" w:eastAsia="Times New Roman" w:hAnsi="Times New Roman" w:cs="Times New Roman"/>
                <w:i/>
                <w:iCs/>
                <w:sz w:val="24"/>
                <w:szCs w:val="24"/>
              </w:rPr>
              <w:t xml:space="preserve">C. diff </w:t>
            </w:r>
            <w:r w:rsidRPr="00CB7684">
              <w:rPr>
                <w:rFonts w:ascii="Times New Roman" w:eastAsia="Times New Roman" w:hAnsi="Times New Roman" w:cs="Times New Roman"/>
                <w:sz w:val="24"/>
                <w:szCs w:val="24"/>
              </w:rPr>
              <w:t>in the same way they can prevent MRSA (Medicare.gov, 2022). </w:t>
            </w:r>
          </w:p>
        </w:tc>
      </w:tr>
    </w:tbl>
    <w:p w14:paraId="536B19BB" w14:textId="77777777" w:rsidR="00CB7684" w:rsidRPr="00CB7684" w:rsidRDefault="00CB7684" w:rsidP="00CB7684">
      <w:pPr>
        <w:spacing w:after="0" w:line="240" w:lineRule="auto"/>
        <w:textAlignment w:val="baseline"/>
        <w:rPr>
          <w:rFonts w:ascii="Segoe UI" w:eastAsia="Times New Roman" w:hAnsi="Segoe UI" w:cs="Segoe UI"/>
          <w:sz w:val="18"/>
          <w:szCs w:val="18"/>
        </w:rPr>
      </w:pPr>
      <w:r w:rsidRPr="00CB7684">
        <w:rPr>
          <w:rFonts w:ascii="Calibri" w:eastAsia="Times New Roman" w:hAnsi="Calibri" w:cs="Calibri"/>
        </w:rPr>
        <w:t> </w:t>
      </w:r>
    </w:p>
    <w:p w14:paraId="4EC700E9" w14:textId="77777777" w:rsidR="00CB7684" w:rsidRPr="00CB7684" w:rsidRDefault="00CB7684" w:rsidP="00CB7684">
      <w:pPr>
        <w:spacing w:after="0" w:line="240" w:lineRule="auto"/>
        <w:textAlignment w:val="baseline"/>
        <w:rPr>
          <w:rFonts w:ascii="Segoe UI" w:eastAsia="Times New Roman" w:hAnsi="Segoe UI" w:cs="Segoe UI"/>
          <w:sz w:val="18"/>
          <w:szCs w:val="18"/>
        </w:rPr>
      </w:pPr>
      <w:r w:rsidRPr="00CB7684">
        <w:rPr>
          <w:rFonts w:ascii="Times New Roman" w:eastAsia="Times New Roman" w:hAnsi="Times New Roman" w:cs="Times New Roman"/>
          <w:sz w:val="32"/>
          <w:szCs w:val="32"/>
        </w:rPr>
        <w:t> </w:t>
      </w:r>
    </w:p>
    <w:p w14:paraId="437ACCA7" w14:textId="77777777" w:rsidR="00CB7684" w:rsidRPr="00CB7684" w:rsidRDefault="00CB7684" w:rsidP="00CB7684">
      <w:pPr>
        <w:spacing w:after="0" w:line="240" w:lineRule="auto"/>
        <w:textAlignment w:val="baseline"/>
        <w:rPr>
          <w:rFonts w:ascii="Segoe UI" w:eastAsia="Times New Roman" w:hAnsi="Segoe UI" w:cs="Segoe UI"/>
          <w:sz w:val="18"/>
          <w:szCs w:val="18"/>
        </w:rPr>
      </w:pPr>
      <w:r w:rsidRPr="00CB7684">
        <w:rPr>
          <w:rFonts w:ascii="Times New Roman" w:eastAsia="Times New Roman" w:hAnsi="Times New Roman" w:cs="Times New Roman"/>
          <w:sz w:val="32"/>
          <w:szCs w:val="32"/>
        </w:rPr>
        <w:t> </w:t>
      </w:r>
    </w:p>
    <w:p w14:paraId="5909EC9F" w14:textId="77777777" w:rsidR="00CB7684" w:rsidRPr="00CB7684" w:rsidRDefault="00CB7684" w:rsidP="00CB7684">
      <w:pPr>
        <w:spacing w:after="0" w:line="240" w:lineRule="auto"/>
        <w:textAlignment w:val="baseline"/>
        <w:rPr>
          <w:rFonts w:ascii="Segoe UI" w:eastAsia="Times New Roman" w:hAnsi="Segoe UI" w:cs="Segoe UI"/>
          <w:sz w:val="18"/>
          <w:szCs w:val="18"/>
        </w:rPr>
      </w:pPr>
      <w:r w:rsidRPr="00CB7684">
        <w:rPr>
          <w:rFonts w:ascii="Times New Roman" w:eastAsia="Times New Roman" w:hAnsi="Times New Roman" w:cs="Times New Roman"/>
          <w:sz w:val="32"/>
          <w:szCs w:val="32"/>
        </w:rPr>
        <w:t> </w:t>
      </w:r>
    </w:p>
    <w:p w14:paraId="6CC77450" w14:textId="77777777" w:rsidR="00CB7684" w:rsidRPr="00CB7684" w:rsidRDefault="00CB7684" w:rsidP="00CB7684">
      <w:pPr>
        <w:spacing w:after="0" w:line="240" w:lineRule="auto"/>
        <w:textAlignment w:val="baseline"/>
        <w:rPr>
          <w:rFonts w:ascii="Segoe UI" w:eastAsia="Times New Roman" w:hAnsi="Segoe UI" w:cs="Segoe UI"/>
          <w:sz w:val="18"/>
          <w:szCs w:val="18"/>
        </w:rPr>
      </w:pPr>
      <w:r w:rsidRPr="00CB7684">
        <w:rPr>
          <w:rFonts w:ascii="Times New Roman" w:eastAsia="Times New Roman" w:hAnsi="Times New Roman" w:cs="Times New Roman"/>
          <w:sz w:val="32"/>
          <w:szCs w:val="32"/>
        </w:rPr>
        <w:t> </w:t>
      </w:r>
    </w:p>
    <w:p w14:paraId="3AC61820" w14:textId="77777777" w:rsidR="00CB7684" w:rsidRPr="00CB7684" w:rsidRDefault="00CB7684" w:rsidP="00CB7684">
      <w:pPr>
        <w:spacing w:after="0" w:line="240" w:lineRule="auto"/>
        <w:textAlignment w:val="baseline"/>
        <w:rPr>
          <w:rFonts w:ascii="Segoe UI" w:eastAsia="Times New Roman" w:hAnsi="Segoe UI" w:cs="Segoe UI"/>
          <w:sz w:val="18"/>
          <w:szCs w:val="18"/>
        </w:rPr>
      </w:pPr>
      <w:r w:rsidRPr="00CB7684">
        <w:rPr>
          <w:rFonts w:ascii="Times New Roman" w:eastAsia="Times New Roman" w:hAnsi="Times New Roman" w:cs="Times New Roman"/>
          <w:sz w:val="32"/>
          <w:szCs w:val="32"/>
        </w:rPr>
        <w:t> </w:t>
      </w:r>
    </w:p>
    <w:p w14:paraId="5C984F3A" w14:textId="77777777" w:rsidR="00CB7684" w:rsidRPr="00CB7684" w:rsidRDefault="00CB7684" w:rsidP="00CB7684">
      <w:pPr>
        <w:spacing w:after="0" w:line="240" w:lineRule="auto"/>
        <w:textAlignment w:val="baseline"/>
        <w:rPr>
          <w:rFonts w:ascii="Segoe UI" w:eastAsia="Times New Roman" w:hAnsi="Segoe UI" w:cs="Segoe UI"/>
          <w:sz w:val="18"/>
          <w:szCs w:val="18"/>
        </w:rPr>
      </w:pPr>
      <w:r w:rsidRPr="00CB7684">
        <w:rPr>
          <w:rFonts w:ascii="Times New Roman" w:eastAsia="Times New Roman" w:hAnsi="Times New Roman" w:cs="Times New Roman"/>
          <w:sz w:val="32"/>
          <w:szCs w:val="32"/>
        </w:rPr>
        <w:t> </w:t>
      </w:r>
    </w:p>
    <w:p w14:paraId="5A244879" w14:textId="77777777" w:rsidR="00CB7684" w:rsidRPr="00CB7684" w:rsidRDefault="00CB7684" w:rsidP="00CB7684">
      <w:pPr>
        <w:spacing w:after="0" w:line="240" w:lineRule="auto"/>
        <w:textAlignment w:val="baseline"/>
        <w:rPr>
          <w:rFonts w:ascii="Segoe UI" w:eastAsia="Times New Roman" w:hAnsi="Segoe UI" w:cs="Segoe UI"/>
          <w:sz w:val="18"/>
          <w:szCs w:val="18"/>
        </w:rPr>
      </w:pPr>
      <w:r w:rsidRPr="00CB7684">
        <w:rPr>
          <w:rFonts w:ascii="Times New Roman" w:eastAsia="Times New Roman" w:hAnsi="Times New Roman" w:cs="Times New Roman"/>
          <w:sz w:val="32"/>
          <w:szCs w:val="32"/>
        </w:rPr>
        <w:t> </w:t>
      </w:r>
    </w:p>
    <w:p w14:paraId="3CFD3315" w14:textId="77777777" w:rsidR="00CB7684" w:rsidRPr="00CB7684" w:rsidRDefault="00CB7684" w:rsidP="00CB7684">
      <w:pPr>
        <w:spacing w:after="0" w:line="240" w:lineRule="auto"/>
        <w:textAlignment w:val="baseline"/>
        <w:rPr>
          <w:rFonts w:ascii="Segoe UI" w:eastAsia="Times New Roman" w:hAnsi="Segoe UI" w:cs="Segoe UI"/>
          <w:sz w:val="18"/>
          <w:szCs w:val="18"/>
        </w:rPr>
      </w:pPr>
      <w:r w:rsidRPr="00CB7684">
        <w:rPr>
          <w:rFonts w:ascii="Times New Roman" w:eastAsia="Times New Roman" w:hAnsi="Times New Roman" w:cs="Times New Roman"/>
          <w:sz w:val="32"/>
          <w:szCs w:val="32"/>
        </w:rPr>
        <w:t> </w:t>
      </w:r>
    </w:p>
    <w:p w14:paraId="589D8066" w14:textId="77777777" w:rsidR="00CB7684" w:rsidRPr="00CB7684" w:rsidRDefault="00CB7684" w:rsidP="00CB7684">
      <w:pPr>
        <w:spacing w:after="0" w:line="240" w:lineRule="auto"/>
        <w:textAlignment w:val="baseline"/>
        <w:rPr>
          <w:rFonts w:ascii="Segoe UI" w:eastAsia="Times New Roman" w:hAnsi="Segoe UI" w:cs="Segoe UI"/>
          <w:sz w:val="18"/>
          <w:szCs w:val="18"/>
        </w:rPr>
      </w:pPr>
      <w:r w:rsidRPr="00CB7684">
        <w:rPr>
          <w:rFonts w:ascii="Times New Roman" w:eastAsia="Times New Roman" w:hAnsi="Times New Roman" w:cs="Times New Roman"/>
          <w:sz w:val="32"/>
          <w:szCs w:val="32"/>
        </w:rPr>
        <w:lastRenderedPageBreak/>
        <w:t> </w:t>
      </w:r>
    </w:p>
    <w:p w14:paraId="2D53A5BE" w14:textId="77777777" w:rsidR="00CB7684" w:rsidRPr="00CB7684" w:rsidRDefault="00CB7684" w:rsidP="00CB7684">
      <w:pPr>
        <w:spacing w:after="0" w:line="240" w:lineRule="auto"/>
        <w:textAlignment w:val="baseline"/>
        <w:rPr>
          <w:rFonts w:ascii="Segoe UI" w:eastAsia="Times New Roman" w:hAnsi="Segoe UI" w:cs="Segoe UI"/>
          <w:sz w:val="18"/>
          <w:szCs w:val="18"/>
        </w:rPr>
      </w:pPr>
      <w:r w:rsidRPr="00CB7684">
        <w:rPr>
          <w:rFonts w:ascii="Times New Roman" w:eastAsia="Times New Roman" w:hAnsi="Times New Roman" w:cs="Times New Roman"/>
          <w:sz w:val="32"/>
          <w:szCs w:val="32"/>
        </w:rPr>
        <w:t> </w:t>
      </w:r>
    </w:p>
    <w:p w14:paraId="7D0A37F2" w14:textId="77777777" w:rsidR="00CB7684" w:rsidRPr="00CB7684" w:rsidRDefault="00CB7684" w:rsidP="00CB7684">
      <w:pPr>
        <w:spacing w:after="0" w:line="240" w:lineRule="auto"/>
        <w:textAlignment w:val="baseline"/>
        <w:rPr>
          <w:rFonts w:ascii="Segoe UI" w:eastAsia="Times New Roman" w:hAnsi="Segoe UI" w:cs="Segoe UI"/>
          <w:sz w:val="18"/>
          <w:szCs w:val="18"/>
        </w:rPr>
      </w:pPr>
      <w:r w:rsidRPr="00CB7684">
        <w:rPr>
          <w:rFonts w:ascii="Times New Roman" w:eastAsia="Times New Roman" w:hAnsi="Times New Roman" w:cs="Times New Roman"/>
          <w:sz w:val="32"/>
          <w:szCs w:val="32"/>
        </w:rPr>
        <w:t> </w:t>
      </w:r>
    </w:p>
    <w:p w14:paraId="0C113B86" w14:textId="77777777" w:rsidR="00CB7684" w:rsidRPr="00CB7684" w:rsidRDefault="00CB7684" w:rsidP="00CB7684">
      <w:pPr>
        <w:spacing w:after="0" w:line="240" w:lineRule="auto"/>
        <w:textAlignment w:val="baseline"/>
        <w:rPr>
          <w:rFonts w:ascii="Segoe UI" w:eastAsia="Times New Roman" w:hAnsi="Segoe UI" w:cs="Segoe UI"/>
          <w:sz w:val="18"/>
          <w:szCs w:val="18"/>
        </w:rPr>
      </w:pPr>
      <w:r w:rsidRPr="00CB7684">
        <w:rPr>
          <w:rFonts w:ascii="Times New Roman" w:eastAsia="Times New Roman" w:hAnsi="Times New Roman" w:cs="Times New Roman"/>
          <w:sz w:val="32"/>
          <w:szCs w:val="32"/>
        </w:rPr>
        <w:t> </w:t>
      </w:r>
    </w:p>
    <w:p w14:paraId="0C2539DB" w14:textId="77777777" w:rsidR="00CB7684" w:rsidRPr="00CB7684" w:rsidRDefault="00CB7684" w:rsidP="00CB7684">
      <w:pPr>
        <w:spacing w:after="0" w:line="240" w:lineRule="auto"/>
        <w:textAlignment w:val="baseline"/>
        <w:rPr>
          <w:rFonts w:ascii="Segoe UI" w:eastAsia="Times New Roman" w:hAnsi="Segoe UI" w:cs="Segoe UI"/>
          <w:sz w:val="18"/>
          <w:szCs w:val="18"/>
        </w:rPr>
      </w:pPr>
      <w:r w:rsidRPr="00CB7684">
        <w:rPr>
          <w:rFonts w:ascii="Times New Roman" w:eastAsia="Times New Roman" w:hAnsi="Times New Roman" w:cs="Times New Roman"/>
          <w:sz w:val="32"/>
          <w:szCs w:val="32"/>
        </w:rPr>
        <w:t> </w:t>
      </w:r>
    </w:p>
    <w:p w14:paraId="70F97729" w14:textId="77777777" w:rsidR="004A4586" w:rsidRDefault="004A4586"/>
    <w:sectPr w:rsidR="004A4586" w:rsidSect="0092315C">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FED48" w14:textId="77777777" w:rsidR="004E7248" w:rsidRDefault="004E7248" w:rsidP="004F7B91">
      <w:pPr>
        <w:spacing w:after="0" w:line="240" w:lineRule="auto"/>
      </w:pPr>
      <w:r>
        <w:separator/>
      </w:r>
    </w:p>
  </w:endnote>
  <w:endnote w:type="continuationSeparator" w:id="0">
    <w:p w14:paraId="5DDE5FBF" w14:textId="77777777" w:rsidR="004E7248" w:rsidRDefault="004E7248" w:rsidP="004F7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0255540"/>
      <w:docPartObj>
        <w:docPartGallery w:val="Page Numbers (Bottom of Page)"/>
        <w:docPartUnique/>
      </w:docPartObj>
    </w:sdtPr>
    <w:sdtEndPr>
      <w:rPr>
        <w:noProof/>
      </w:rPr>
    </w:sdtEndPr>
    <w:sdtContent>
      <w:p w14:paraId="41244663" w14:textId="77777777" w:rsidR="0016041B" w:rsidRDefault="001604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38BD91" w14:textId="77777777" w:rsidR="004F7B91" w:rsidRDefault="004F7B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42E69" w14:textId="77777777" w:rsidR="004E7248" w:rsidRDefault="004E7248" w:rsidP="004F7B91">
      <w:pPr>
        <w:spacing w:after="0" w:line="240" w:lineRule="auto"/>
      </w:pPr>
      <w:r>
        <w:separator/>
      </w:r>
    </w:p>
  </w:footnote>
  <w:footnote w:type="continuationSeparator" w:id="0">
    <w:p w14:paraId="333BF42E" w14:textId="77777777" w:rsidR="004E7248" w:rsidRDefault="004E7248" w:rsidP="004F7B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7C21C1"/>
    <w:multiLevelType w:val="multilevel"/>
    <w:tmpl w:val="3C9A5FA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042487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856"/>
    <w:rsid w:val="00002279"/>
    <w:rsid w:val="0000437B"/>
    <w:rsid w:val="00011F28"/>
    <w:rsid w:val="00023BDA"/>
    <w:rsid w:val="0002692C"/>
    <w:rsid w:val="00030C05"/>
    <w:rsid w:val="00044D9E"/>
    <w:rsid w:val="00046D99"/>
    <w:rsid w:val="000530B6"/>
    <w:rsid w:val="000B489F"/>
    <w:rsid w:val="000C2FE1"/>
    <w:rsid w:val="000E4F92"/>
    <w:rsid w:val="000F3918"/>
    <w:rsid w:val="00120943"/>
    <w:rsid w:val="00145E6D"/>
    <w:rsid w:val="0016041B"/>
    <w:rsid w:val="001906BE"/>
    <w:rsid w:val="0019405D"/>
    <w:rsid w:val="001955AC"/>
    <w:rsid w:val="001A097E"/>
    <w:rsid w:val="001A6AFC"/>
    <w:rsid w:val="001B1EFE"/>
    <w:rsid w:val="001C24D8"/>
    <w:rsid w:val="001C47EE"/>
    <w:rsid w:val="001D35FB"/>
    <w:rsid w:val="001D57C9"/>
    <w:rsid w:val="001D7FCE"/>
    <w:rsid w:val="001E033D"/>
    <w:rsid w:val="001E5B73"/>
    <w:rsid w:val="001F12C2"/>
    <w:rsid w:val="001F4B1B"/>
    <w:rsid w:val="00201877"/>
    <w:rsid w:val="00203069"/>
    <w:rsid w:val="00211E7E"/>
    <w:rsid w:val="002339ED"/>
    <w:rsid w:val="00251C34"/>
    <w:rsid w:val="002527B3"/>
    <w:rsid w:val="002611AD"/>
    <w:rsid w:val="00265B41"/>
    <w:rsid w:val="00270456"/>
    <w:rsid w:val="002754E5"/>
    <w:rsid w:val="002760E6"/>
    <w:rsid w:val="00286104"/>
    <w:rsid w:val="002C086D"/>
    <w:rsid w:val="002D7DEF"/>
    <w:rsid w:val="002E5CA5"/>
    <w:rsid w:val="002E65B9"/>
    <w:rsid w:val="002F573D"/>
    <w:rsid w:val="00301D2B"/>
    <w:rsid w:val="0031074A"/>
    <w:rsid w:val="00333F33"/>
    <w:rsid w:val="0034209D"/>
    <w:rsid w:val="00343251"/>
    <w:rsid w:val="00344501"/>
    <w:rsid w:val="00346D0A"/>
    <w:rsid w:val="00350E1F"/>
    <w:rsid w:val="00372EF1"/>
    <w:rsid w:val="00382C77"/>
    <w:rsid w:val="00386ACD"/>
    <w:rsid w:val="003873FC"/>
    <w:rsid w:val="00397BC9"/>
    <w:rsid w:val="003A3368"/>
    <w:rsid w:val="003A5BAB"/>
    <w:rsid w:val="003B05F6"/>
    <w:rsid w:val="003E34DD"/>
    <w:rsid w:val="003F7631"/>
    <w:rsid w:val="0040106B"/>
    <w:rsid w:val="004053CD"/>
    <w:rsid w:val="004102F2"/>
    <w:rsid w:val="00424C0E"/>
    <w:rsid w:val="0047060D"/>
    <w:rsid w:val="004747D0"/>
    <w:rsid w:val="004A0CF0"/>
    <w:rsid w:val="004A4586"/>
    <w:rsid w:val="004D3AF0"/>
    <w:rsid w:val="004E08F4"/>
    <w:rsid w:val="004E6670"/>
    <w:rsid w:val="004E7248"/>
    <w:rsid w:val="004F7B91"/>
    <w:rsid w:val="00501214"/>
    <w:rsid w:val="005265E7"/>
    <w:rsid w:val="0053253C"/>
    <w:rsid w:val="005346A7"/>
    <w:rsid w:val="005502D4"/>
    <w:rsid w:val="005549C1"/>
    <w:rsid w:val="00561F28"/>
    <w:rsid w:val="00563F69"/>
    <w:rsid w:val="005740CC"/>
    <w:rsid w:val="00574159"/>
    <w:rsid w:val="0057418F"/>
    <w:rsid w:val="00575AE2"/>
    <w:rsid w:val="00582DE4"/>
    <w:rsid w:val="00587E40"/>
    <w:rsid w:val="005A10D4"/>
    <w:rsid w:val="005A4164"/>
    <w:rsid w:val="005E05B9"/>
    <w:rsid w:val="005E1C3B"/>
    <w:rsid w:val="005E6A60"/>
    <w:rsid w:val="005F6131"/>
    <w:rsid w:val="005F6941"/>
    <w:rsid w:val="00615EDF"/>
    <w:rsid w:val="00617A1D"/>
    <w:rsid w:val="00624738"/>
    <w:rsid w:val="006309E6"/>
    <w:rsid w:val="00643513"/>
    <w:rsid w:val="006570ED"/>
    <w:rsid w:val="00661852"/>
    <w:rsid w:val="00690EA9"/>
    <w:rsid w:val="006B6C94"/>
    <w:rsid w:val="006C0C26"/>
    <w:rsid w:val="006D299F"/>
    <w:rsid w:val="006D5707"/>
    <w:rsid w:val="006E0889"/>
    <w:rsid w:val="006E2325"/>
    <w:rsid w:val="00705C7A"/>
    <w:rsid w:val="0070619D"/>
    <w:rsid w:val="00707F58"/>
    <w:rsid w:val="007125F9"/>
    <w:rsid w:val="00717D0C"/>
    <w:rsid w:val="00720DA6"/>
    <w:rsid w:val="00727460"/>
    <w:rsid w:val="00727C61"/>
    <w:rsid w:val="0074193B"/>
    <w:rsid w:val="007546C2"/>
    <w:rsid w:val="00755F6F"/>
    <w:rsid w:val="00763937"/>
    <w:rsid w:val="00765B05"/>
    <w:rsid w:val="00777006"/>
    <w:rsid w:val="0077740D"/>
    <w:rsid w:val="007C5CFA"/>
    <w:rsid w:val="007C6101"/>
    <w:rsid w:val="007F4B12"/>
    <w:rsid w:val="007F6C09"/>
    <w:rsid w:val="0081183C"/>
    <w:rsid w:val="00832FB5"/>
    <w:rsid w:val="008363F0"/>
    <w:rsid w:val="0085293E"/>
    <w:rsid w:val="00860317"/>
    <w:rsid w:val="00866934"/>
    <w:rsid w:val="008A3560"/>
    <w:rsid w:val="008A426F"/>
    <w:rsid w:val="008B3CF3"/>
    <w:rsid w:val="008C5F20"/>
    <w:rsid w:val="008E01DE"/>
    <w:rsid w:val="00900508"/>
    <w:rsid w:val="0091420F"/>
    <w:rsid w:val="00920A4A"/>
    <w:rsid w:val="0092115B"/>
    <w:rsid w:val="00922BB3"/>
    <w:rsid w:val="0092315C"/>
    <w:rsid w:val="009557B1"/>
    <w:rsid w:val="00957441"/>
    <w:rsid w:val="00964EA0"/>
    <w:rsid w:val="0096559A"/>
    <w:rsid w:val="00977F40"/>
    <w:rsid w:val="00983DE3"/>
    <w:rsid w:val="00992026"/>
    <w:rsid w:val="0099576B"/>
    <w:rsid w:val="009C767D"/>
    <w:rsid w:val="009D0D96"/>
    <w:rsid w:val="009E5A2F"/>
    <w:rsid w:val="009E6644"/>
    <w:rsid w:val="009E7E35"/>
    <w:rsid w:val="00A156AF"/>
    <w:rsid w:val="00A47155"/>
    <w:rsid w:val="00A74285"/>
    <w:rsid w:val="00A82AF1"/>
    <w:rsid w:val="00AA5F82"/>
    <w:rsid w:val="00AB325B"/>
    <w:rsid w:val="00AD1AA1"/>
    <w:rsid w:val="00AD6B85"/>
    <w:rsid w:val="00AE7E95"/>
    <w:rsid w:val="00AF6258"/>
    <w:rsid w:val="00B00E5B"/>
    <w:rsid w:val="00B11EA3"/>
    <w:rsid w:val="00B123B4"/>
    <w:rsid w:val="00B17448"/>
    <w:rsid w:val="00B24008"/>
    <w:rsid w:val="00B26C10"/>
    <w:rsid w:val="00B368DA"/>
    <w:rsid w:val="00B636ED"/>
    <w:rsid w:val="00B74319"/>
    <w:rsid w:val="00B97C21"/>
    <w:rsid w:val="00BB3982"/>
    <w:rsid w:val="00BC7B4A"/>
    <w:rsid w:val="00BE596A"/>
    <w:rsid w:val="00BE7A60"/>
    <w:rsid w:val="00BF0EBC"/>
    <w:rsid w:val="00BF7006"/>
    <w:rsid w:val="00C01B8F"/>
    <w:rsid w:val="00C04D58"/>
    <w:rsid w:val="00C05C83"/>
    <w:rsid w:val="00C11AE4"/>
    <w:rsid w:val="00C23628"/>
    <w:rsid w:val="00C25592"/>
    <w:rsid w:val="00C3055D"/>
    <w:rsid w:val="00C331B8"/>
    <w:rsid w:val="00C36961"/>
    <w:rsid w:val="00C47C15"/>
    <w:rsid w:val="00C70856"/>
    <w:rsid w:val="00C81AF0"/>
    <w:rsid w:val="00CA2F24"/>
    <w:rsid w:val="00CB7684"/>
    <w:rsid w:val="00CB769B"/>
    <w:rsid w:val="00CC2633"/>
    <w:rsid w:val="00CD404F"/>
    <w:rsid w:val="00CE1188"/>
    <w:rsid w:val="00CE65D7"/>
    <w:rsid w:val="00D03CA1"/>
    <w:rsid w:val="00D10F6A"/>
    <w:rsid w:val="00D14231"/>
    <w:rsid w:val="00D15BED"/>
    <w:rsid w:val="00D2143B"/>
    <w:rsid w:val="00D21781"/>
    <w:rsid w:val="00D249C3"/>
    <w:rsid w:val="00D329CB"/>
    <w:rsid w:val="00D37AD2"/>
    <w:rsid w:val="00D43855"/>
    <w:rsid w:val="00D443D4"/>
    <w:rsid w:val="00D45C98"/>
    <w:rsid w:val="00D46D1E"/>
    <w:rsid w:val="00D5313F"/>
    <w:rsid w:val="00D53921"/>
    <w:rsid w:val="00D63BAC"/>
    <w:rsid w:val="00D74740"/>
    <w:rsid w:val="00D82863"/>
    <w:rsid w:val="00D870D7"/>
    <w:rsid w:val="00D93D08"/>
    <w:rsid w:val="00DA0837"/>
    <w:rsid w:val="00DB44DD"/>
    <w:rsid w:val="00DB6FF8"/>
    <w:rsid w:val="00DD5E7F"/>
    <w:rsid w:val="00DD6AEB"/>
    <w:rsid w:val="00DE109E"/>
    <w:rsid w:val="00DE7FDC"/>
    <w:rsid w:val="00E03F22"/>
    <w:rsid w:val="00E1302D"/>
    <w:rsid w:val="00E17DB7"/>
    <w:rsid w:val="00E323E3"/>
    <w:rsid w:val="00E41534"/>
    <w:rsid w:val="00E514CC"/>
    <w:rsid w:val="00E677FB"/>
    <w:rsid w:val="00E74A79"/>
    <w:rsid w:val="00E863BA"/>
    <w:rsid w:val="00E86EC7"/>
    <w:rsid w:val="00E90F69"/>
    <w:rsid w:val="00E9439F"/>
    <w:rsid w:val="00EA6601"/>
    <w:rsid w:val="00EC1C87"/>
    <w:rsid w:val="00EC4195"/>
    <w:rsid w:val="00EE570B"/>
    <w:rsid w:val="00EF4091"/>
    <w:rsid w:val="00EF71CA"/>
    <w:rsid w:val="00F25920"/>
    <w:rsid w:val="00F44081"/>
    <w:rsid w:val="00F44129"/>
    <w:rsid w:val="00F45B17"/>
    <w:rsid w:val="00F556A9"/>
    <w:rsid w:val="00F672B2"/>
    <w:rsid w:val="00F7591A"/>
    <w:rsid w:val="00F77DA5"/>
    <w:rsid w:val="00F83B09"/>
    <w:rsid w:val="00F93BE0"/>
    <w:rsid w:val="00FA6604"/>
    <w:rsid w:val="00FC4F37"/>
    <w:rsid w:val="00FC5866"/>
    <w:rsid w:val="00FC5B50"/>
    <w:rsid w:val="00FD7A03"/>
    <w:rsid w:val="00FF6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B0C3E"/>
  <w15:chartTrackingRefBased/>
  <w15:docId w15:val="{28B1AA3D-E215-496F-BAF1-5C84D3493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20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7085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7085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7085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34209D"/>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D37AD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7085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7085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70856"/>
    <w:rPr>
      <w:rFonts w:ascii="Times New Roman" w:eastAsia="Times New Roman" w:hAnsi="Times New Roman" w:cs="Times New Roman"/>
      <w:b/>
      <w:bCs/>
      <w:sz w:val="24"/>
      <w:szCs w:val="24"/>
    </w:rPr>
  </w:style>
  <w:style w:type="paragraph" w:styleId="NormalWeb">
    <w:name w:val="Normal (Web)"/>
    <w:basedOn w:val="Normal"/>
    <w:uiPriority w:val="99"/>
    <w:unhideWhenUsed/>
    <w:rsid w:val="00C708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34209D"/>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9"/>
    <w:rsid w:val="0034209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AD1AA1"/>
    <w:rPr>
      <w:color w:val="0563C1" w:themeColor="hyperlink"/>
      <w:u w:val="single"/>
    </w:rPr>
  </w:style>
  <w:style w:type="character" w:styleId="UnresolvedMention">
    <w:name w:val="Unresolved Mention"/>
    <w:basedOn w:val="DefaultParagraphFont"/>
    <w:uiPriority w:val="99"/>
    <w:semiHidden/>
    <w:unhideWhenUsed/>
    <w:rsid w:val="00AD1AA1"/>
    <w:rPr>
      <w:color w:val="605E5C"/>
      <w:shd w:val="clear" w:color="auto" w:fill="E1DFDD"/>
    </w:rPr>
  </w:style>
  <w:style w:type="paragraph" w:styleId="ListParagraph">
    <w:name w:val="List Paragraph"/>
    <w:basedOn w:val="Normal"/>
    <w:uiPriority w:val="34"/>
    <w:qFormat/>
    <w:rsid w:val="00AD1AA1"/>
    <w:pPr>
      <w:ind w:left="720"/>
      <w:contextualSpacing/>
    </w:pPr>
  </w:style>
  <w:style w:type="character" w:customStyle="1" w:styleId="Heading6Char">
    <w:name w:val="Heading 6 Char"/>
    <w:basedOn w:val="DefaultParagraphFont"/>
    <w:link w:val="Heading6"/>
    <w:uiPriority w:val="9"/>
    <w:rsid w:val="00D37AD2"/>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4F7B91"/>
    <w:pPr>
      <w:outlineLvl w:val="9"/>
    </w:pPr>
  </w:style>
  <w:style w:type="paragraph" w:styleId="TOC1">
    <w:name w:val="toc 1"/>
    <w:basedOn w:val="Normal"/>
    <w:next w:val="Normal"/>
    <w:autoRedefine/>
    <w:uiPriority w:val="39"/>
    <w:unhideWhenUsed/>
    <w:rsid w:val="004F7B91"/>
    <w:pPr>
      <w:spacing w:after="100"/>
    </w:pPr>
  </w:style>
  <w:style w:type="paragraph" w:styleId="TOC3">
    <w:name w:val="toc 3"/>
    <w:basedOn w:val="Normal"/>
    <w:next w:val="Normal"/>
    <w:autoRedefine/>
    <w:uiPriority w:val="39"/>
    <w:unhideWhenUsed/>
    <w:rsid w:val="00C47C15"/>
    <w:pPr>
      <w:tabs>
        <w:tab w:val="right" w:leader="dot" w:pos="9350"/>
      </w:tabs>
      <w:spacing w:after="100"/>
      <w:ind w:left="440"/>
    </w:pPr>
    <w:rPr>
      <w:i/>
      <w:iCs/>
      <w:noProof/>
    </w:rPr>
  </w:style>
  <w:style w:type="paragraph" w:styleId="TOC2">
    <w:name w:val="toc 2"/>
    <w:basedOn w:val="Normal"/>
    <w:next w:val="Normal"/>
    <w:autoRedefine/>
    <w:uiPriority w:val="39"/>
    <w:unhideWhenUsed/>
    <w:rsid w:val="004F7B91"/>
    <w:pPr>
      <w:spacing w:after="100"/>
      <w:ind w:left="220"/>
    </w:pPr>
  </w:style>
  <w:style w:type="paragraph" w:styleId="Header">
    <w:name w:val="header"/>
    <w:basedOn w:val="Normal"/>
    <w:link w:val="HeaderChar"/>
    <w:uiPriority w:val="99"/>
    <w:unhideWhenUsed/>
    <w:rsid w:val="004F7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B91"/>
  </w:style>
  <w:style w:type="paragraph" w:styleId="Footer">
    <w:name w:val="footer"/>
    <w:basedOn w:val="Normal"/>
    <w:link w:val="FooterChar"/>
    <w:uiPriority w:val="99"/>
    <w:unhideWhenUsed/>
    <w:rsid w:val="004F7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7B91"/>
  </w:style>
  <w:style w:type="paragraph" w:customStyle="1" w:styleId="paragraph">
    <w:name w:val="paragraph"/>
    <w:basedOn w:val="Normal"/>
    <w:rsid w:val="005F69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F6941"/>
  </w:style>
  <w:style w:type="character" w:customStyle="1" w:styleId="eop">
    <w:name w:val="eop"/>
    <w:basedOn w:val="DefaultParagraphFont"/>
    <w:rsid w:val="005F6941"/>
  </w:style>
  <w:style w:type="character" w:customStyle="1" w:styleId="scxw67445724">
    <w:name w:val="scxw67445724"/>
    <w:basedOn w:val="DefaultParagraphFont"/>
    <w:rsid w:val="007F4B12"/>
  </w:style>
  <w:style w:type="character" w:customStyle="1" w:styleId="scxw115178173">
    <w:name w:val="scxw115178173"/>
    <w:basedOn w:val="DefaultParagraphFont"/>
    <w:rsid w:val="0095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5417">
      <w:bodyDiv w:val="1"/>
      <w:marLeft w:val="0"/>
      <w:marRight w:val="0"/>
      <w:marTop w:val="0"/>
      <w:marBottom w:val="0"/>
      <w:divBdr>
        <w:top w:val="none" w:sz="0" w:space="0" w:color="auto"/>
        <w:left w:val="none" w:sz="0" w:space="0" w:color="auto"/>
        <w:bottom w:val="none" w:sz="0" w:space="0" w:color="auto"/>
        <w:right w:val="none" w:sz="0" w:space="0" w:color="auto"/>
      </w:divBdr>
      <w:divsChild>
        <w:div w:id="1206025903">
          <w:marLeft w:val="0"/>
          <w:marRight w:val="0"/>
          <w:marTop w:val="0"/>
          <w:marBottom w:val="0"/>
          <w:divBdr>
            <w:top w:val="none" w:sz="0" w:space="0" w:color="auto"/>
            <w:left w:val="none" w:sz="0" w:space="0" w:color="auto"/>
            <w:bottom w:val="none" w:sz="0" w:space="0" w:color="auto"/>
            <w:right w:val="none" w:sz="0" w:space="0" w:color="auto"/>
          </w:divBdr>
        </w:div>
        <w:div w:id="642199388">
          <w:marLeft w:val="0"/>
          <w:marRight w:val="0"/>
          <w:marTop w:val="0"/>
          <w:marBottom w:val="0"/>
          <w:divBdr>
            <w:top w:val="none" w:sz="0" w:space="0" w:color="auto"/>
            <w:left w:val="none" w:sz="0" w:space="0" w:color="auto"/>
            <w:bottom w:val="none" w:sz="0" w:space="0" w:color="auto"/>
            <w:right w:val="none" w:sz="0" w:space="0" w:color="auto"/>
          </w:divBdr>
        </w:div>
        <w:div w:id="1789617467">
          <w:marLeft w:val="0"/>
          <w:marRight w:val="0"/>
          <w:marTop w:val="0"/>
          <w:marBottom w:val="0"/>
          <w:divBdr>
            <w:top w:val="none" w:sz="0" w:space="0" w:color="auto"/>
            <w:left w:val="none" w:sz="0" w:space="0" w:color="auto"/>
            <w:bottom w:val="none" w:sz="0" w:space="0" w:color="auto"/>
            <w:right w:val="none" w:sz="0" w:space="0" w:color="auto"/>
          </w:divBdr>
        </w:div>
        <w:div w:id="594172985">
          <w:marLeft w:val="0"/>
          <w:marRight w:val="0"/>
          <w:marTop w:val="0"/>
          <w:marBottom w:val="0"/>
          <w:divBdr>
            <w:top w:val="none" w:sz="0" w:space="0" w:color="auto"/>
            <w:left w:val="none" w:sz="0" w:space="0" w:color="auto"/>
            <w:bottom w:val="none" w:sz="0" w:space="0" w:color="auto"/>
            <w:right w:val="none" w:sz="0" w:space="0" w:color="auto"/>
          </w:divBdr>
        </w:div>
        <w:div w:id="360086873">
          <w:marLeft w:val="0"/>
          <w:marRight w:val="0"/>
          <w:marTop w:val="0"/>
          <w:marBottom w:val="0"/>
          <w:divBdr>
            <w:top w:val="none" w:sz="0" w:space="0" w:color="auto"/>
            <w:left w:val="none" w:sz="0" w:space="0" w:color="auto"/>
            <w:bottom w:val="none" w:sz="0" w:space="0" w:color="auto"/>
            <w:right w:val="none" w:sz="0" w:space="0" w:color="auto"/>
          </w:divBdr>
          <w:divsChild>
            <w:div w:id="1778524833">
              <w:marLeft w:val="-75"/>
              <w:marRight w:val="0"/>
              <w:marTop w:val="30"/>
              <w:marBottom w:val="30"/>
              <w:divBdr>
                <w:top w:val="none" w:sz="0" w:space="0" w:color="auto"/>
                <w:left w:val="none" w:sz="0" w:space="0" w:color="auto"/>
                <w:bottom w:val="none" w:sz="0" w:space="0" w:color="auto"/>
                <w:right w:val="none" w:sz="0" w:space="0" w:color="auto"/>
              </w:divBdr>
              <w:divsChild>
                <w:div w:id="302277234">
                  <w:marLeft w:val="0"/>
                  <w:marRight w:val="0"/>
                  <w:marTop w:val="0"/>
                  <w:marBottom w:val="0"/>
                  <w:divBdr>
                    <w:top w:val="none" w:sz="0" w:space="0" w:color="auto"/>
                    <w:left w:val="none" w:sz="0" w:space="0" w:color="auto"/>
                    <w:bottom w:val="none" w:sz="0" w:space="0" w:color="auto"/>
                    <w:right w:val="none" w:sz="0" w:space="0" w:color="auto"/>
                  </w:divBdr>
                  <w:divsChild>
                    <w:div w:id="311570209">
                      <w:marLeft w:val="0"/>
                      <w:marRight w:val="0"/>
                      <w:marTop w:val="0"/>
                      <w:marBottom w:val="0"/>
                      <w:divBdr>
                        <w:top w:val="none" w:sz="0" w:space="0" w:color="auto"/>
                        <w:left w:val="none" w:sz="0" w:space="0" w:color="auto"/>
                        <w:bottom w:val="none" w:sz="0" w:space="0" w:color="auto"/>
                        <w:right w:val="none" w:sz="0" w:space="0" w:color="auto"/>
                      </w:divBdr>
                    </w:div>
                  </w:divsChild>
                </w:div>
                <w:div w:id="2036727933">
                  <w:marLeft w:val="0"/>
                  <w:marRight w:val="0"/>
                  <w:marTop w:val="0"/>
                  <w:marBottom w:val="0"/>
                  <w:divBdr>
                    <w:top w:val="none" w:sz="0" w:space="0" w:color="auto"/>
                    <w:left w:val="none" w:sz="0" w:space="0" w:color="auto"/>
                    <w:bottom w:val="none" w:sz="0" w:space="0" w:color="auto"/>
                    <w:right w:val="none" w:sz="0" w:space="0" w:color="auto"/>
                  </w:divBdr>
                  <w:divsChild>
                    <w:div w:id="1213299864">
                      <w:marLeft w:val="0"/>
                      <w:marRight w:val="0"/>
                      <w:marTop w:val="0"/>
                      <w:marBottom w:val="0"/>
                      <w:divBdr>
                        <w:top w:val="none" w:sz="0" w:space="0" w:color="auto"/>
                        <w:left w:val="none" w:sz="0" w:space="0" w:color="auto"/>
                        <w:bottom w:val="none" w:sz="0" w:space="0" w:color="auto"/>
                        <w:right w:val="none" w:sz="0" w:space="0" w:color="auto"/>
                      </w:divBdr>
                    </w:div>
                  </w:divsChild>
                </w:div>
                <w:div w:id="456529649">
                  <w:marLeft w:val="0"/>
                  <w:marRight w:val="0"/>
                  <w:marTop w:val="0"/>
                  <w:marBottom w:val="0"/>
                  <w:divBdr>
                    <w:top w:val="none" w:sz="0" w:space="0" w:color="auto"/>
                    <w:left w:val="none" w:sz="0" w:space="0" w:color="auto"/>
                    <w:bottom w:val="none" w:sz="0" w:space="0" w:color="auto"/>
                    <w:right w:val="none" w:sz="0" w:space="0" w:color="auto"/>
                  </w:divBdr>
                  <w:divsChild>
                    <w:div w:id="1196963080">
                      <w:marLeft w:val="0"/>
                      <w:marRight w:val="0"/>
                      <w:marTop w:val="0"/>
                      <w:marBottom w:val="0"/>
                      <w:divBdr>
                        <w:top w:val="none" w:sz="0" w:space="0" w:color="auto"/>
                        <w:left w:val="none" w:sz="0" w:space="0" w:color="auto"/>
                        <w:bottom w:val="none" w:sz="0" w:space="0" w:color="auto"/>
                        <w:right w:val="none" w:sz="0" w:space="0" w:color="auto"/>
                      </w:divBdr>
                    </w:div>
                  </w:divsChild>
                </w:div>
                <w:div w:id="1582982851">
                  <w:marLeft w:val="0"/>
                  <w:marRight w:val="0"/>
                  <w:marTop w:val="0"/>
                  <w:marBottom w:val="0"/>
                  <w:divBdr>
                    <w:top w:val="none" w:sz="0" w:space="0" w:color="auto"/>
                    <w:left w:val="none" w:sz="0" w:space="0" w:color="auto"/>
                    <w:bottom w:val="none" w:sz="0" w:space="0" w:color="auto"/>
                    <w:right w:val="none" w:sz="0" w:space="0" w:color="auto"/>
                  </w:divBdr>
                  <w:divsChild>
                    <w:div w:id="487130785">
                      <w:marLeft w:val="0"/>
                      <w:marRight w:val="0"/>
                      <w:marTop w:val="0"/>
                      <w:marBottom w:val="0"/>
                      <w:divBdr>
                        <w:top w:val="none" w:sz="0" w:space="0" w:color="auto"/>
                        <w:left w:val="none" w:sz="0" w:space="0" w:color="auto"/>
                        <w:bottom w:val="none" w:sz="0" w:space="0" w:color="auto"/>
                        <w:right w:val="none" w:sz="0" w:space="0" w:color="auto"/>
                      </w:divBdr>
                    </w:div>
                  </w:divsChild>
                </w:div>
                <w:div w:id="1758557687">
                  <w:marLeft w:val="0"/>
                  <w:marRight w:val="0"/>
                  <w:marTop w:val="0"/>
                  <w:marBottom w:val="0"/>
                  <w:divBdr>
                    <w:top w:val="none" w:sz="0" w:space="0" w:color="auto"/>
                    <w:left w:val="none" w:sz="0" w:space="0" w:color="auto"/>
                    <w:bottom w:val="none" w:sz="0" w:space="0" w:color="auto"/>
                    <w:right w:val="none" w:sz="0" w:space="0" w:color="auto"/>
                  </w:divBdr>
                  <w:divsChild>
                    <w:div w:id="2056152728">
                      <w:marLeft w:val="0"/>
                      <w:marRight w:val="0"/>
                      <w:marTop w:val="0"/>
                      <w:marBottom w:val="0"/>
                      <w:divBdr>
                        <w:top w:val="none" w:sz="0" w:space="0" w:color="auto"/>
                        <w:left w:val="none" w:sz="0" w:space="0" w:color="auto"/>
                        <w:bottom w:val="none" w:sz="0" w:space="0" w:color="auto"/>
                        <w:right w:val="none" w:sz="0" w:space="0" w:color="auto"/>
                      </w:divBdr>
                    </w:div>
                  </w:divsChild>
                </w:div>
                <w:div w:id="1484542777">
                  <w:marLeft w:val="0"/>
                  <w:marRight w:val="0"/>
                  <w:marTop w:val="0"/>
                  <w:marBottom w:val="0"/>
                  <w:divBdr>
                    <w:top w:val="none" w:sz="0" w:space="0" w:color="auto"/>
                    <w:left w:val="none" w:sz="0" w:space="0" w:color="auto"/>
                    <w:bottom w:val="none" w:sz="0" w:space="0" w:color="auto"/>
                    <w:right w:val="none" w:sz="0" w:space="0" w:color="auto"/>
                  </w:divBdr>
                  <w:divsChild>
                    <w:div w:id="1104618200">
                      <w:marLeft w:val="0"/>
                      <w:marRight w:val="0"/>
                      <w:marTop w:val="0"/>
                      <w:marBottom w:val="0"/>
                      <w:divBdr>
                        <w:top w:val="none" w:sz="0" w:space="0" w:color="auto"/>
                        <w:left w:val="none" w:sz="0" w:space="0" w:color="auto"/>
                        <w:bottom w:val="none" w:sz="0" w:space="0" w:color="auto"/>
                        <w:right w:val="none" w:sz="0" w:space="0" w:color="auto"/>
                      </w:divBdr>
                    </w:div>
                  </w:divsChild>
                </w:div>
                <w:div w:id="291139546">
                  <w:marLeft w:val="0"/>
                  <w:marRight w:val="0"/>
                  <w:marTop w:val="0"/>
                  <w:marBottom w:val="0"/>
                  <w:divBdr>
                    <w:top w:val="none" w:sz="0" w:space="0" w:color="auto"/>
                    <w:left w:val="none" w:sz="0" w:space="0" w:color="auto"/>
                    <w:bottom w:val="none" w:sz="0" w:space="0" w:color="auto"/>
                    <w:right w:val="none" w:sz="0" w:space="0" w:color="auto"/>
                  </w:divBdr>
                  <w:divsChild>
                    <w:div w:id="1163932576">
                      <w:marLeft w:val="0"/>
                      <w:marRight w:val="0"/>
                      <w:marTop w:val="0"/>
                      <w:marBottom w:val="0"/>
                      <w:divBdr>
                        <w:top w:val="none" w:sz="0" w:space="0" w:color="auto"/>
                        <w:left w:val="none" w:sz="0" w:space="0" w:color="auto"/>
                        <w:bottom w:val="none" w:sz="0" w:space="0" w:color="auto"/>
                        <w:right w:val="none" w:sz="0" w:space="0" w:color="auto"/>
                      </w:divBdr>
                    </w:div>
                  </w:divsChild>
                </w:div>
                <w:div w:id="402214713">
                  <w:marLeft w:val="0"/>
                  <w:marRight w:val="0"/>
                  <w:marTop w:val="0"/>
                  <w:marBottom w:val="0"/>
                  <w:divBdr>
                    <w:top w:val="none" w:sz="0" w:space="0" w:color="auto"/>
                    <w:left w:val="none" w:sz="0" w:space="0" w:color="auto"/>
                    <w:bottom w:val="none" w:sz="0" w:space="0" w:color="auto"/>
                    <w:right w:val="none" w:sz="0" w:space="0" w:color="auto"/>
                  </w:divBdr>
                  <w:divsChild>
                    <w:div w:id="926429268">
                      <w:marLeft w:val="0"/>
                      <w:marRight w:val="0"/>
                      <w:marTop w:val="0"/>
                      <w:marBottom w:val="0"/>
                      <w:divBdr>
                        <w:top w:val="none" w:sz="0" w:space="0" w:color="auto"/>
                        <w:left w:val="none" w:sz="0" w:space="0" w:color="auto"/>
                        <w:bottom w:val="none" w:sz="0" w:space="0" w:color="auto"/>
                        <w:right w:val="none" w:sz="0" w:space="0" w:color="auto"/>
                      </w:divBdr>
                    </w:div>
                  </w:divsChild>
                </w:div>
                <w:div w:id="1577934191">
                  <w:marLeft w:val="0"/>
                  <w:marRight w:val="0"/>
                  <w:marTop w:val="0"/>
                  <w:marBottom w:val="0"/>
                  <w:divBdr>
                    <w:top w:val="none" w:sz="0" w:space="0" w:color="auto"/>
                    <w:left w:val="none" w:sz="0" w:space="0" w:color="auto"/>
                    <w:bottom w:val="none" w:sz="0" w:space="0" w:color="auto"/>
                    <w:right w:val="none" w:sz="0" w:space="0" w:color="auto"/>
                  </w:divBdr>
                  <w:divsChild>
                    <w:div w:id="1418476230">
                      <w:marLeft w:val="0"/>
                      <w:marRight w:val="0"/>
                      <w:marTop w:val="0"/>
                      <w:marBottom w:val="0"/>
                      <w:divBdr>
                        <w:top w:val="none" w:sz="0" w:space="0" w:color="auto"/>
                        <w:left w:val="none" w:sz="0" w:space="0" w:color="auto"/>
                        <w:bottom w:val="none" w:sz="0" w:space="0" w:color="auto"/>
                        <w:right w:val="none" w:sz="0" w:space="0" w:color="auto"/>
                      </w:divBdr>
                    </w:div>
                  </w:divsChild>
                </w:div>
                <w:div w:id="422187880">
                  <w:marLeft w:val="0"/>
                  <w:marRight w:val="0"/>
                  <w:marTop w:val="0"/>
                  <w:marBottom w:val="0"/>
                  <w:divBdr>
                    <w:top w:val="none" w:sz="0" w:space="0" w:color="auto"/>
                    <w:left w:val="none" w:sz="0" w:space="0" w:color="auto"/>
                    <w:bottom w:val="none" w:sz="0" w:space="0" w:color="auto"/>
                    <w:right w:val="none" w:sz="0" w:space="0" w:color="auto"/>
                  </w:divBdr>
                  <w:divsChild>
                    <w:div w:id="442647858">
                      <w:marLeft w:val="0"/>
                      <w:marRight w:val="0"/>
                      <w:marTop w:val="0"/>
                      <w:marBottom w:val="0"/>
                      <w:divBdr>
                        <w:top w:val="none" w:sz="0" w:space="0" w:color="auto"/>
                        <w:left w:val="none" w:sz="0" w:space="0" w:color="auto"/>
                        <w:bottom w:val="none" w:sz="0" w:space="0" w:color="auto"/>
                        <w:right w:val="none" w:sz="0" w:space="0" w:color="auto"/>
                      </w:divBdr>
                    </w:div>
                  </w:divsChild>
                </w:div>
                <w:div w:id="991060677">
                  <w:marLeft w:val="0"/>
                  <w:marRight w:val="0"/>
                  <w:marTop w:val="0"/>
                  <w:marBottom w:val="0"/>
                  <w:divBdr>
                    <w:top w:val="none" w:sz="0" w:space="0" w:color="auto"/>
                    <w:left w:val="none" w:sz="0" w:space="0" w:color="auto"/>
                    <w:bottom w:val="none" w:sz="0" w:space="0" w:color="auto"/>
                    <w:right w:val="none" w:sz="0" w:space="0" w:color="auto"/>
                  </w:divBdr>
                  <w:divsChild>
                    <w:div w:id="479152028">
                      <w:marLeft w:val="0"/>
                      <w:marRight w:val="0"/>
                      <w:marTop w:val="0"/>
                      <w:marBottom w:val="0"/>
                      <w:divBdr>
                        <w:top w:val="none" w:sz="0" w:space="0" w:color="auto"/>
                        <w:left w:val="none" w:sz="0" w:space="0" w:color="auto"/>
                        <w:bottom w:val="none" w:sz="0" w:space="0" w:color="auto"/>
                        <w:right w:val="none" w:sz="0" w:space="0" w:color="auto"/>
                      </w:divBdr>
                    </w:div>
                  </w:divsChild>
                </w:div>
                <w:div w:id="1757286299">
                  <w:marLeft w:val="0"/>
                  <w:marRight w:val="0"/>
                  <w:marTop w:val="0"/>
                  <w:marBottom w:val="0"/>
                  <w:divBdr>
                    <w:top w:val="none" w:sz="0" w:space="0" w:color="auto"/>
                    <w:left w:val="none" w:sz="0" w:space="0" w:color="auto"/>
                    <w:bottom w:val="none" w:sz="0" w:space="0" w:color="auto"/>
                    <w:right w:val="none" w:sz="0" w:space="0" w:color="auto"/>
                  </w:divBdr>
                  <w:divsChild>
                    <w:div w:id="1410806163">
                      <w:marLeft w:val="0"/>
                      <w:marRight w:val="0"/>
                      <w:marTop w:val="0"/>
                      <w:marBottom w:val="0"/>
                      <w:divBdr>
                        <w:top w:val="none" w:sz="0" w:space="0" w:color="auto"/>
                        <w:left w:val="none" w:sz="0" w:space="0" w:color="auto"/>
                        <w:bottom w:val="none" w:sz="0" w:space="0" w:color="auto"/>
                        <w:right w:val="none" w:sz="0" w:space="0" w:color="auto"/>
                      </w:divBdr>
                    </w:div>
                  </w:divsChild>
                </w:div>
                <w:div w:id="1175654025">
                  <w:marLeft w:val="0"/>
                  <w:marRight w:val="0"/>
                  <w:marTop w:val="0"/>
                  <w:marBottom w:val="0"/>
                  <w:divBdr>
                    <w:top w:val="none" w:sz="0" w:space="0" w:color="auto"/>
                    <w:left w:val="none" w:sz="0" w:space="0" w:color="auto"/>
                    <w:bottom w:val="none" w:sz="0" w:space="0" w:color="auto"/>
                    <w:right w:val="none" w:sz="0" w:space="0" w:color="auto"/>
                  </w:divBdr>
                  <w:divsChild>
                    <w:div w:id="685904479">
                      <w:marLeft w:val="0"/>
                      <w:marRight w:val="0"/>
                      <w:marTop w:val="0"/>
                      <w:marBottom w:val="0"/>
                      <w:divBdr>
                        <w:top w:val="none" w:sz="0" w:space="0" w:color="auto"/>
                        <w:left w:val="none" w:sz="0" w:space="0" w:color="auto"/>
                        <w:bottom w:val="none" w:sz="0" w:space="0" w:color="auto"/>
                        <w:right w:val="none" w:sz="0" w:space="0" w:color="auto"/>
                      </w:divBdr>
                    </w:div>
                  </w:divsChild>
                </w:div>
                <w:div w:id="811218593">
                  <w:marLeft w:val="0"/>
                  <w:marRight w:val="0"/>
                  <w:marTop w:val="0"/>
                  <w:marBottom w:val="0"/>
                  <w:divBdr>
                    <w:top w:val="none" w:sz="0" w:space="0" w:color="auto"/>
                    <w:left w:val="none" w:sz="0" w:space="0" w:color="auto"/>
                    <w:bottom w:val="none" w:sz="0" w:space="0" w:color="auto"/>
                    <w:right w:val="none" w:sz="0" w:space="0" w:color="auto"/>
                  </w:divBdr>
                  <w:divsChild>
                    <w:div w:id="670837160">
                      <w:marLeft w:val="0"/>
                      <w:marRight w:val="0"/>
                      <w:marTop w:val="0"/>
                      <w:marBottom w:val="0"/>
                      <w:divBdr>
                        <w:top w:val="none" w:sz="0" w:space="0" w:color="auto"/>
                        <w:left w:val="none" w:sz="0" w:space="0" w:color="auto"/>
                        <w:bottom w:val="none" w:sz="0" w:space="0" w:color="auto"/>
                        <w:right w:val="none" w:sz="0" w:space="0" w:color="auto"/>
                      </w:divBdr>
                    </w:div>
                  </w:divsChild>
                </w:div>
                <w:div w:id="1683894542">
                  <w:marLeft w:val="0"/>
                  <w:marRight w:val="0"/>
                  <w:marTop w:val="0"/>
                  <w:marBottom w:val="0"/>
                  <w:divBdr>
                    <w:top w:val="none" w:sz="0" w:space="0" w:color="auto"/>
                    <w:left w:val="none" w:sz="0" w:space="0" w:color="auto"/>
                    <w:bottom w:val="none" w:sz="0" w:space="0" w:color="auto"/>
                    <w:right w:val="none" w:sz="0" w:space="0" w:color="auto"/>
                  </w:divBdr>
                  <w:divsChild>
                    <w:div w:id="1161461481">
                      <w:marLeft w:val="0"/>
                      <w:marRight w:val="0"/>
                      <w:marTop w:val="0"/>
                      <w:marBottom w:val="0"/>
                      <w:divBdr>
                        <w:top w:val="none" w:sz="0" w:space="0" w:color="auto"/>
                        <w:left w:val="none" w:sz="0" w:space="0" w:color="auto"/>
                        <w:bottom w:val="none" w:sz="0" w:space="0" w:color="auto"/>
                        <w:right w:val="none" w:sz="0" w:space="0" w:color="auto"/>
                      </w:divBdr>
                    </w:div>
                  </w:divsChild>
                </w:div>
                <w:div w:id="2034452763">
                  <w:marLeft w:val="0"/>
                  <w:marRight w:val="0"/>
                  <w:marTop w:val="0"/>
                  <w:marBottom w:val="0"/>
                  <w:divBdr>
                    <w:top w:val="none" w:sz="0" w:space="0" w:color="auto"/>
                    <w:left w:val="none" w:sz="0" w:space="0" w:color="auto"/>
                    <w:bottom w:val="none" w:sz="0" w:space="0" w:color="auto"/>
                    <w:right w:val="none" w:sz="0" w:space="0" w:color="auto"/>
                  </w:divBdr>
                  <w:divsChild>
                    <w:div w:id="262954130">
                      <w:marLeft w:val="0"/>
                      <w:marRight w:val="0"/>
                      <w:marTop w:val="0"/>
                      <w:marBottom w:val="0"/>
                      <w:divBdr>
                        <w:top w:val="none" w:sz="0" w:space="0" w:color="auto"/>
                        <w:left w:val="none" w:sz="0" w:space="0" w:color="auto"/>
                        <w:bottom w:val="none" w:sz="0" w:space="0" w:color="auto"/>
                        <w:right w:val="none" w:sz="0" w:space="0" w:color="auto"/>
                      </w:divBdr>
                    </w:div>
                  </w:divsChild>
                </w:div>
                <w:div w:id="1081679378">
                  <w:marLeft w:val="0"/>
                  <w:marRight w:val="0"/>
                  <w:marTop w:val="0"/>
                  <w:marBottom w:val="0"/>
                  <w:divBdr>
                    <w:top w:val="none" w:sz="0" w:space="0" w:color="auto"/>
                    <w:left w:val="none" w:sz="0" w:space="0" w:color="auto"/>
                    <w:bottom w:val="none" w:sz="0" w:space="0" w:color="auto"/>
                    <w:right w:val="none" w:sz="0" w:space="0" w:color="auto"/>
                  </w:divBdr>
                  <w:divsChild>
                    <w:div w:id="1000085958">
                      <w:marLeft w:val="0"/>
                      <w:marRight w:val="0"/>
                      <w:marTop w:val="0"/>
                      <w:marBottom w:val="0"/>
                      <w:divBdr>
                        <w:top w:val="none" w:sz="0" w:space="0" w:color="auto"/>
                        <w:left w:val="none" w:sz="0" w:space="0" w:color="auto"/>
                        <w:bottom w:val="none" w:sz="0" w:space="0" w:color="auto"/>
                        <w:right w:val="none" w:sz="0" w:space="0" w:color="auto"/>
                      </w:divBdr>
                    </w:div>
                  </w:divsChild>
                </w:div>
                <w:div w:id="1326593509">
                  <w:marLeft w:val="0"/>
                  <w:marRight w:val="0"/>
                  <w:marTop w:val="0"/>
                  <w:marBottom w:val="0"/>
                  <w:divBdr>
                    <w:top w:val="none" w:sz="0" w:space="0" w:color="auto"/>
                    <w:left w:val="none" w:sz="0" w:space="0" w:color="auto"/>
                    <w:bottom w:val="none" w:sz="0" w:space="0" w:color="auto"/>
                    <w:right w:val="none" w:sz="0" w:space="0" w:color="auto"/>
                  </w:divBdr>
                  <w:divsChild>
                    <w:div w:id="437213305">
                      <w:marLeft w:val="0"/>
                      <w:marRight w:val="0"/>
                      <w:marTop w:val="0"/>
                      <w:marBottom w:val="0"/>
                      <w:divBdr>
                        <w:top w:val="none" w:sz="0" w:space="0" w:color="auto"/>
                        <w:left w:val="none" w:sz="0" w:space="0" w:color="auto"/>
                        <w:bottom w:val="none" w:sz="0" w:space="0" w:color="auto"/>
                        <w:right w:val="none" w:sz="0" w:space="0" w:color="auto"/>
                      </w:divBdr>
                    </w:div>
                  </w:divsChild>
                </w:div>
                <w:div w:id="1178496030">
                  <w:marLeft w:val="0"/>
                  <w:marRight w:val="0"/>
                  <w:marTop w:val="0"/>
                  <w:marBottom w:val="0"/>
                  <w:divBdr>
                    <w:top w:val="none" w:sz="0" w:space="0" w:color="auto"/>
                    <w:left w:val="none" w:sz="0" w:space="0" w:color="auto"/>
                    <w:bottom w:val="none" w:sz="0" w:space="0" w:color="auto"/>
                    <w:right w:val="none" w:sz="0" w:space="0" w:color="auto"/>
                  </w:divBdr>
                  <w:divsChild>
                    <w:div w:id="516971221">
                      <w:marLeft w:val="0"/>
                      <w:marRight w:val="0"/>
                      <w:marTop w:val="0"/>
                      <w:marBottom w:val="0"/>
                      <w:divBdr>
                        <w:top w:val="none" w:sz="0" w:space="0" w:color="auto"/>
                        <w:left w:val="none" w:sz="0" w:space="0" w:color="auto"/>
                        <w:bottom w:val="none" w:sz="0" w:space="0" w:color="auto"/>
                        <w:right w:val="none" w:sz="0" w:space="0" w:color="auto"/>
                      </w:divBdr>
                    </w:div>
                  </w:divsChild>
                </w:div>
                <w:div w:id="820464024">
                  <w:marLeft w:val="0"/>
                  <w:marRight w:val="0"/>
                  <w:marTop w:val="0"/>
                  <w:marBottom w:val="0"/>
                  <w:divBdr>
                    <w:top w:val="none" w:sz="0" w:space="0" w:color="auto"/>
                    <w:left w:val="none" w:sz="0" w:space="0" w:color="auto"/>
                    <w:bottom w:val="none" w:sz="0" w:space="0" w:color="auto"/>
                    <w:right w:val="none" w:sz="0" w:space="0" w:color="auto"/>
                  </w:divBdr>
                  <w:divsChild>
                    <w:div w:id="1531530540">
                      <w:marLeft w:val="0"/>
                      <w:marRight w:val="0"/>
                      <w:marTop w:val="0"/>
                      <w:marBottom w:val="0"/>
                      <w:divBdr>
                        <w:top w:val="none" w:sz="0" w:space="0" w:color="auto"/>
                        <w:left w:val="none" w:sz="0" w:space="0" w:color="auto"/>
                        <w:bottom w:val="none" w:sz="0" w:space="0" w:color="auto"/>
                        <w:right w:val="none" w:sz="0" w:space="0" w:color="auto"/>
                      </w:divBdr>
                    </w:div>
                  </w:divsChild>
                </w:div>
                <w:div w:id="815342806">
                  <w:marLeft w:val="0"/>
                  <w:marRight w:val="0"/>
                  <w:marTop w:val="0"/>
                  <w:marBottom w:val="0"/>
                  <w:divBdr>
                    <w:top w:val="none" w:sz="0" w:space="0" w:color="auto"/>
                    <w:left w:val="none" w:sz="0" w:space="0" w:color="auto"/>
                    <w:bottom w:val="none" w:sz="0" w:space="0" w:color="auto"/>
                    <w:right w:val="none" w:sz="0" w:space="0" w:color="auto"/>
                  </w:divBdr>
                  <w:divsChild>
                    <w:div w:id="1848252255">
                      <w:marLeft w:val="0"/>
                      <w:marRight w:val="0"/>
                      <w:marTop w:val="0"/>
                      <w:marBottom w:val="0"/>
                      <w:divBdr>
                        <w:top w:val="none" w:sz="0" w:space="0" w:color="auto"/>
                        <w:left w:val="none" w:sz="0" w:space="0" w:color="auto"/>
                        <w:bottom w:val="none" w:sz="0" w:space="0" w:color="auto"/>
                        <w:right w:val="none" w:sz="0" w:space="0" w:color="auto"/>
                      </w:divBdr>
                    </w:div>
                  </w:divsChild>
                </w:div>
                <w:div w:id="1925647970">
                  <w:marLeft w:val="0"/>
                  <w:marRight w:val="0"/>
                  <w:marTop w:val="0"/>
                  <w:marBottom w:val="0"/>
                  <w:divBdr>
                    <w:top w:val="none" w:sz="0" w:space="0" w:color="auto"/>
                    <w:left w:val="none" w:sz="0" w:space="0" w:color="auto"/>
                    <w:bottom w:val="none" w:sz="0" w:space="0" w:color="auto"/>
                    <w:right w:val="none" w:sz="0" w:space="0" w:color="auto"/>
                  </w:divBdr>
                  <w:divsChild>
                    <w:div w:id="958148874">
                      <w:marLeft w:val="0"/>
                      <w:marRight w:val="0"/>
                      <w:marTop w:val="0"/>
                      <w:marBottom w:val="0"/>
                      <w:divBdr>
                        <w:top w:val="none" w:sz="0" w:space="0" w:color="auto"/>
                        <w:left w:val="none" w:sz="0" w:space="0" w:color="auto"/>
                        <w:bottom w:val="none" w:sz="0" w:space="0" w:color="auto"/>
                        <w:right w:val="none" w:sz="0" w:space="0" w:color="auto"/>
                      </w:divBdr>
                    </w:div>
                  </w:divsChild>
                </w:div>
                <w:div w:id="991257675">
                  <w:marLeft w:val="0"/>
                  <w:marRight w:val="0"/>
                  <w:marTop w:val="0"/>
                  <w:marBottom w:val="0"/>
                  <w:divBdr>
                    <w:top w:val="none" w:sz="0" w:space="0" w:color="auto"/>
                    <w:left w:val="none" w:sz="0" w:space="0" w:color="auto"/>
                    <w:bottom w:val="none" w:sz="0" w:space="0" w:color="auto"/>
                    <w:right w:val="none" w:sz="0" w:space="0" w:color="auto"/>
                  </w:divBdr>
                  <w:divsChild>
                    <w:div w:id="1499224031">
                      <w:marLeft w:val="0"/>
                      <w:marRight w:val="0"/>
                      <w:marTop w:val="0"/>
                      <w:marBottom w:val="0"/>
                      <w:divBdr>
                        <w:top w:val="none" w:sz="0" w:space="0" w:color="auto"/>
                        <w:left w:val="none" w:sz="0" w:space="0" w:color="auto"/>
                        <w:bottom w:val="none" w:sz="0" w:space="0" w:color="auto"/>
                        <w:right w:val="none" w:sz="0" w:space="0" w:color="auto"/>
                      </w:divBdr>
                    </w:div>
                  </w:divsChild>
                </w:div>
                <w:div w:id="1953898462">
                  <w:marLeft w:val="0"/>
                  <w:marRight w:val="0"/>
                  <w:marTop w:val="0"/>
                  <w:marBottom w:val="0"/>
                  <w:divBdr>
                    <w:top w:val="none" w:sz="0" w:space="0" w:color="auto"/>
                    <w:left w:val="none" w:sz="0" w:space="0" w:color="auto"/>
                    <w:bottom w:val="none" w:sz="0" w:space="0" w:color="auto"/>
                    <w:right w:val="none" w:sz="0" w:space="0" w:color="auto"/>
                  </w:divBdr>
                  <w:divsChild>
                    <w:div w:id="833842553">
                      <w:marLeft w:val="0"/>
                      <w:marRight w:val="0"/>
                      <w:marTop w:val="0"/>
                      <w:marBottom w:val="0"/>
                      <w:divBdr>
                        <w:top w:val="none" w:sz="0" w:space="0" w:color="auto"/>
                        <w:left w:val="none" w:sz="0" w:space="0" w:color="auto"/>
                        <w:bottom w:val="none" w:sz="0" w:space="0" w:color="auto"/>
                        <w:right w:val="none" w:sz="0" w:space="0" w:color="auto"/>
                      </w:divBdr>
                    </w:div>
                  </w:divsChild>
                </w:div>
                <w:div w:id="1794446174">
                  <w:marLeft w:val="0"/>
                  <w:marRight w:val="0"/>
                  <w:marTop w:val="0"/>
                  <w:marBottom w:val="0"/>
                  <w:divBdr>
                    <w:top w:val="none" w:sz="0" w:space="0" w:color="auto"/>
                    <w:left w:val="none" w:sz="0" w:space="0" w:color="auto"/>
                    <w:bottom w:val="none" w:sz="0" w:space="0" w:color="auto"/>
                    <w:right w:val="none" w:sz="0" w:space="0" w:color="auto"/>
                  </w:divBdr>
                  <w:divsChild>
                    <w:div w:id="425420179">
                      <w:marLeft w:val="0"/>
                      <w:marRight w:val="0"/>
                      <w:marTop w:val="0"/>
                      <w:marBottom w:val="0"/>
                      <w:divBdr>
                        <w:top w:val="none" w:sz="0" w:space="0" w:color="auto"/>
                        <w:left w:val="none" w:sz="0" w:space="0" w:color="auto"/>
                        <w:bottom w:val="none" w:sz="0" w:space="0" w:color="auto"/>
                        <w:right w:val="none" w:sz="0" w:space="0" w:color="auto"/>
                      </w:divBdr>
                    </w:div>
                  </w:divsChild>
                </w:div>
                <w:div w:id="2127043835">
                  <w:marLeft w:val="0"/>
                  <w:marRight w:val="0"/>
                  <w:marTop w:val="0"/>
                  <w:marBottom w:val="0"/>
                  <w:divBdr>
                    <w:top w:val="none" w:sz="0" w:space="0" w:color="auto"/>
                    <w:left w:val="none" w:sz="0" w:space="0" w:color="auto"/>
                    <w:bottom w:val="none" w:sz="0" w:space="0" w:color="auto"/>
                    <w:right w:val="none" w:sz="0" w:space="0" w:color="auto"/>
                  </w:divBdr>
                  <w:divsChild>
                    <w:div w:id="52430705">
                      <w:marLeft w:val="0"/>
                      <w:marRight w:val="0"/>
                      <w:marTop w:val="0"/>
                      <w:marBottom w:val="0"/>
                      <w:divBdr>
                        <w:top w:val="none" w:sz="0" w:space="0" w:color="auto"/>
                        <w:left w:val="none" w:sz="0" w:space="0" w:color="auto"/>
                        <w:bottom w:val="none" w:sz="0" w:space="0" w:color="auto"/>
                        <w:right w:val="none" w:sz="0" w:space="0" w:color="auto"/>
                      </w:divBdr>
                    </w:div>
                  </w:divsChild>
                </w:div>
                <w:div w:id="1720203658">
                  <w:marLeft w:val="0"/>
                  <w:marRight w:val="0"/>
                  <w:marTop w:val="0"/>
                  <w:marBottom w:val="0"/>
                  <w:divBdr>
                    <w:top w:val="none" w:sz="0" w:space="0" w:color="auto"/>
                    <w:left w:val="none" w:sz="0" w:space="0" w:color="auto"/>
                    <w:bottom w:val="none" w:sz="0" w:space="0" w:color="auto"/>
                    <w:right w:val="none" w:sz="0" w:space="0" w:color="auto"/>
                  </w:divBdr>
                  <w:divsChild>
                    <w:div w:id="1207523924">
                      <w:marLeft w:val="0"/>
                      <w:marRight w:val="0"/>
                      <w:marTop w:val="0"/>
                      <w:marBottom w:val="0"/>
                      <w:divBdr>
                        <w:top w:val="none" w:sz="0" w:space="0" w:color="auto"/>
                        <w:left w:val="none" w:sz="0" w:space="0" w:color="auto"/>
                        <w:bottom w:val="none" w:sz="0" w:space="0" w:color="auto"/>
                        <w:right w:val="none" w:sz="0" w:space="0" w:color="auto"/>
                      </w:divBdr>
                    </w:div>
                  </w:divsChild>
                </w:div>
                <w:div w:id="901987174">
                  <w:marLeft w:val="0"/>
                  <w:marRight w:val="0"/>
                  <w:marTop w:val="0"/>
                  <w:marBottom w:val="0"/>
                  <w:divBdr>
                    <w:top w:val="none" w:sz="0" w:space="0" w:color="auto"/>
                    <w:left w:val="none" w:sz="0" w:space="0" w:color="auto"/>
                    <w:bottom w:val="none" w:sz="0" w:space="0" w:color="auto"/>
                    <w:right w:val="none" w:sz="0" w:space="0" w:color="auto"/>
                  </w:divBdr>
                  <w:divsChild>
                    <w:div w:id="1933007836">
                      <w:marLeft w:val="0"/>
                      <w:marRight w:val="0"/>
                      <w:marTop w:val="0"/>
                      <w:marBottom w:val="0"/>
                      <w:divBdr>
                        <w:top w:val="none" w:sz="0" w:space="0" w:color="auto"/>
                        <w:left w:val="none" w:sz="0" w:space="0" w:color="auto"/>
                        <w:bottom w:val="none" w:sz="0" w:space="0" w:color="auto"/>
                        <w:right w:val="none" w:sz="0" w:space="0" w:color="auto"/>
                      </w:divBdr>
                    </w:div>
                  </w:divsChild>
                </w:div>
                <w:div w:id="1884907015">
                  <w:marLeft w:val="0"/>
                  <w:marRight w:val="0"/>
                  <w:marTop w:val="0"/>
                  <w:marBottom w:val="0"/>
                  <w:divBdr>
                    <w:top w:val="none" w:sz="0" w:space="0" w:color="auto"/>
                    <w:left w:val="none" w:sz="0" w:space="0" w:color="auto"/>
                    <w:bottom w:val="none" w:sz="0" w:space="0" w:color="auto"/>
                    <w:right w:val="none" w:sz="0" w:space="0" w:color="auto"/>
                  </w:divBdr>
                  <w:divsChild>
                    <w:div w:id="1064834759">
                      <w:marLeft w:val="0"/>
                      <w:marRight w:val="0"/>
                      <w:marTop w:val="0"/>
                      <w:marBottom w:val="0"/>
                      <w:divBdr>
                        <w:top w:val="none" w:sz="0" w:space="0" w:color="auto"/>
                        <w:left w:val="none" w:sz="0" w:space="0" w:color="auto"/>
                        <w:bottom w:val="none" w:sz="0" w:space="0" w:color="auto"/>
                        <w:right w:val="none" w:sz="0" w:space="0" w:color="auto"/>
                      </w:divBdr>
                    </w:div>
                  </w:divsChild>
                </w:div>
                <w:div w:id="1045056680">
                  <w:marLeft w:val="0"/>
                  <w:marRight w:val="0"/>
                  <w:marTop w:val="0"/>
                  <w:marBottom w:val="0"/>
                  <w:divBdr>
                    <w:top w:val="none" w:sz="0" w:space="0" w:color="auto"/>
                    <w:left w:val="none" w:sz="0" w:space="0" w:color="auto"/>
                    <w:bottom w:val="none" w:sz="0" w:space="0" w:color="auto"/>
                    <w:right w:val="none" w:sz="0" w:space="0" w:color="auto"/>
                  </w:divBdr>
                  <w:divsChild>
                    <w:div w:id="1236629040">
                      <w:marLeft w:val="0"/>
                      <w:marRight w:val="0"/>
                      <w:marTop w:val="0"/>
                      <w:marBottom w:val="0"/>
                      <w:divBdr>
                        <w:top w:val="none" w:sz="0" w:space="0" w:color="auto"/>
                        <w:left w:val="none" w:sz="0" w:space="0" w:color="auto"/>
                        <w:bottom w:val="none" w:sz="0" w:space="0" w:color="auto"/>
                        <w:right w:val="none" w:sz="0" w:space="0" w:color="auto"/>
                      </w:divBdr>
                    </w:div>
                  </w:divsChild>
                </w:div>
                <w:div w:id="1680086162">
                  <w:marLeft w:val="0"/>
                  <w:marRight w:val="0"/>
                  <w:marTop w:val="0"/>
                  <w:marBottom w:val="0"/>
                  <w:divBdr>
                    <w:top w:val="none" w:sz="0" w:space="0" w:color="auto"/>
                    <w:left w:val="none" w:sz="0" w:space="0" w:color="auto"/>
                    <w:bottom w:val="none" w:sz="0" w:space="0" w:color="auto"/>
                    <w:right w:val="none" w:sz="0" w:space="0" w:color="auto"/>
                  </w:divBdr>
                  <w:divsChild>
                    <w:div w:id="1589343476">
                      <w:marLeft w:val="0"/>
                      <w:marRight w:val="0"/>
                      <w:marTop w:val="0"/>
                      <w:marBottom w:val="0"/>
                      <w:divBdr>
                        <w:top w:val="none" w:sz="0" w:space="0" w:color="auto"/>
                        <w:left w:val="none" w:sz="0" w:space="0" w:color="auto"/>
                        <w:bottom w:val="none" w:sz="0" w:space="0" w:color="auto"/>
                        <w:right w:val="none" w:sz="0" w:space="0" w:color="auto"/>
                      </w:divBdr>
                    </w:div>
                  </w:divsChild>
                </w:div>
                <w:div w:id="656691881">
                  <w:marLeft w:val="0"/>
                  <w:marRight w:val="0"/>
                  <w:marTop w:val="0"/>
                  <w:marBottom w:val="0"/>
                  <w:divBdr>
                    <w:top w:val="none" w:sz="0" w:space="0" w:color="auto"/>
                    <w:left w:val="none" w:sz="0" w:space="0" w:color="auto"/>
                    <w:bottom w:val="none" w:sz="0" w:space="0" w:color="auto"/>
                    <w:right w:val="none" w:sz="0" w:space="0" w:color="auto"/>
                  </w:divBdr>
                  <w:divsChild>
                    <w:div w:id="594947396">
                      <w:marLeft w:val="0"/>
                      <w:marRight w:val="0"/>
                      <w:marTop w:val="0"/>
                      <w:marBottom w:val="0"/>
                      <w:divBdr>
                        <w:top w:val="none" w:sz="0" w:space="0" w:color="auto"/>
                        <w:left w:val="none" w:sz="0" w:space="0" w:color="auto"/>
                        <w:bottom w:val="none" w:sz="0" w:space="0" w:color="auto"/>
                        <w:right w:val="none" w:sz="0" w:space="0" w:color="auto"/>
                      </w:divBdr>
                    </w:div>
                  </w:divsChild>
                </w:div>
                <w:div w:id="6568815">
                  <w:marLeft w:val="0"/>
                  <w:marRight w:val="0"/>
                  <w:marTop w:val="0"/>
                  <w:marBottom w:val="0"/>
                  <w:divBdr>
                    <w:top w:val="none" w:sz="0" w:space="0" w:color="auto"/>
                    <w:left w:val="none" w:sz="0" w:space="0" w:color="auto"/>
                    <w:bottom w:val="none" w:sz="0" w:space="0" w:color="auto"/>
                    <w:right w:val="none" w:sz="0" w:space="0" w:color="auto"/>
                  </w:divBdr>
                  <w:divsChild>
                    <w:div w:id="1349942971">
                      <w:marLeft w:val="0"/>
                      <w:marRight w:val="0"/>
                      <w:marTop w:val="0"/>
                      <w:marBottom w:val="0"/>
                      <w:divBdr>
                        <w:top w:val="none" w:sz="0" w:space="0" w:color="auto"/>
                        <w:left w:val="none" w:sz="0" w:space="0" w:color="auto"/>
                        <w:bottom w:val="none" w:sz="0" w:space="0" w:color="auto"/>
                        <w:right w:val="none" w:sz="0" w:space="0" w:color="auto"/>
                      </w:divBdr>
                    </w:div>
                  </w:divsChild>
                </w:div>
                <w:div w:id="1393232659">
                  <w:marLeft w:val="0"/>
                  <w:marRight w:val="0"/>
                  <w:marTop w:val="0"/>
                  <w:marBottom w:val="0"/>
                  <w:divBdr>
                    <w:top w:val="none" w:sz="0" w:space="0" w:color="auto"/>
                    <w:left w:val="none" w:sz="0" w:space="0" w:color="auto"/>
                    <w:bottom w:val="none" w:sz="0" w:space="0" w:color="auto"/>
                    <w:right w:val="none" w:sz="0" w:space="0" w:color="auto"/>
                  </w:divBdr>
                  <w:divsChild>
                    <w:div w:id="739445352">
                      <w:marLeft w:val="0"/>
                      <w:marRight w:val="0"/>
                      <w:marTop w:val="0"/>
                      <w:marBottom w:val="0"/>
                      <w:divBdr>
                        <w:top w:val="none" w:sz="0" w:space="0" w:color="auto"/>
                        <w:left w:val="none" w:sz="0" w:space="0" w:color="auto"/>
                        <w:bottom w:val="none" w:sz="0" w:space="0" w:color="auto"/>
                        <w:right w:val="none" w:sz="0" w:space="0" w:color="auto"/>
                      </w:divBdr>
                    </w:div>
                  </w:divsChild>
                </w:div>
                <w:div w:id="343553955">
                  <w:marLeft w:val="0"/>
                  <w:marRight w:val="0"/>
                  <w:marTop w:val="0"/>
                  <w:marBottom w:val="0"/>
                  <w:divBdr>
                    <w:top w:val="none" w:sz="0" w:space="0" w:color="auto"/>
                    <w:left w:val="none" w:sz="0" w:space="0" w:color="auto"/>
                    <w:bottom w:val="none" w:sz="0" w:space="0" w:color="auto"/>
                    <w:right w:val="none" w:sz="0" w:space="0" w:color="auto"/>
                  </w:divBdr>
                  <w:divsChild>
                    <w:div w:id="1418986897">
                      <w:marLeft w:val="0"/>
                      <w:marRight w:val="0"/>
                      <w:marTop w:val="0"/>
                      <w:marBottom w:val="0"/>
                      <w:divBdr>
                        <w:top w:val="none" w:sz="0" w:space="0" w:color="auto"/>
                        <w:left w:val="none" w:sz="0" w:space="0" w:color="auto"/>
                        <w:bottom w:val="none" w:sz="0" w:space="0" w:color="auto"/>
                        <w:right w:val="none" w:sz="0" w:space="0" w:color="auto"/>
                      </w:divBdr>
                    </w:div>
                  </w:divsChild>
                </w:div>
                <w:div w:id="1166362345">
                  <w:marLeft w:val="0"/>
                  <w:marRight w:val="0"/>
                  <w:marTop w:val="0"/>
                  <w:marBottom w:val="0"/>
                  <w:divBdr>
                    <w:top w:val="none" w:sz="0" w:space="0" w:color="auto"/>
                    <w:left w:val="none" w:sz="0" w:space="0" w:color="auto"/>
                    <w:bottom w:val="none" w:sz="0" w:space="0" w:color="auto"/>
                    <w:right w:val="none" w:sz="0" w:space="0" w:color="auto"/>
                  </w:divBdr>
                  <w:divsChild>
                    <w:div w:id="1948806517">
                      <w:marLeft w:val="0"/>
                      <w:marRight w:val="0"/>
                      <w:marTop w:val="0"/>
                      <w:marBottom w:val="0"/>
                      <w:divBdr>
                        <w:top w:val="none" w:sz="0" w:space="0" w:color="auto"/>
                        <w:left w:val="none" w:sz="0" w:space="0" w:color="auto"/>
                        <w:bottom w:val="none" w:sz="0" w:space="0" w:color="auto"/>
                        <w:right w:val="none" w:sz="0" w:space="0" w:color="auto"/>
                      </w:divBdr>
                    </w:div>
                  </w:divsChild>
                </w:div>
                <w:div w:id="182522610">
                  <w:marLeft w:val="0"/>
                  <w:marRight w:val="0"/>
                  <w:marTop w:val="0"/>
                  <w:marBottom w:val="0"/>
                  <w:divBdr>
                    <w:top w:val="none" w:sz="0" w:space="0" w:color="auto"/>
                    <w:left w:val="none" w:sz="0" w:space="0" w:color="auto"/>
                    <w:bottom w:val="none" w:sz="0" w:space="0" w:color="auto"/>
                    <w:right w:val="none" w:sz="0" w:space="0" w:color="auto"/>
                  </w:divBdr>
                  <w:divsChild>
                    <w:div w:id="1747876809">
                      <w:marLeft w:val="0"/>
                      <w:marRight w:val="0"/>
                      <w:marTop w:val="0"/>
                      <w:marBottom w:val="0"/>
                      <w:divBdr>
                        <w:top w:val="none" w:sz="0" w:space="0" w:color="auto"/>
                        <w:left w:val="none" w:sz="0" w:space="0" w:color="auto"/>
                        <w:bottom w:val="none" w:sz="0" w:space="0" w:color="auto"/>
                        <w:right w:val="none" w:sz="0" w:space="0" w:color="auto"/>
                      </w:divBdr>
                    </w:div>
                  </w:divsChild>
                </w:div>
                <w:div w:id="2124302022">
                  <w:marLeft w:val="0"/>
                  <w:marRight w:val="0"/>
                  <w:marTop w:val="0"/>
                  <w:marBottom w:val="0"/>
                  <w:divBdr>
                    <w:top w:val="none" w:sz="0" w:space="0" w:color="auto"/>
                    <w:left w:val="none" w:sz="0" w:space="0" w:color="auto"/>
                    <w:bottom w:val="none" w:sz="0" w:space="0" w:color="auto"/>
                    <w:right w:val="none" w:sz="0" w:space="0" w:color="auto"/>
                  </w:divBdr>
                  <w:divsChild>
                    <w:div w:id="1691639511">
                      <w:marLeft w:val="0"/>
                      <w:marRight w:val="0"/>
                      <w:marTop w:val="0"/>
                      <w:marBottom w:val="0"/>
                      <w:divBdr>
                        <w:top w:val="none" w:sz="0" w:space="0" w:color="auto"/>
                        <w:left w:val="none" w:sz="0" w:space="0" w:color="auto"/>
                        <w:bottom w:val="none" w:sz="0" w:space="0" w:color="auto"/>
                        <w:right w:val="none" w:sz="0" w:space="0" w:color="auto"/>
                      </w:divBdr>
                    </w:div>
                  </w:divsChild>
                </w:div>
                <w:div w:id="1677804805">
                  <w:marLeft w:val="0"/>
                  <w:marRight w:val="0"/>
                  <w:marTop w:val="0"/>
                  <w:marBottom w:val="0"/>
                  <w:divBdr>
                    <w:top w:val="none" w:sz="0" w:space="0" w:color="auto"/>
                    <w:left w:val="none" w:sz="0" w:space="0" w:color="auto"/>
                    <w:bottom w:val="none" w:sz="0" w:space="0" w:color="auto"/>
                    <w:right w:val="none" w:sz="0" w:space="0" w:color="auto"/>
                  </w:divBdr>
                  <w:divsChild>
                    <w:div w:id="1218514390">
                      <w:marLeft w:val="0"/>
                      <w:marRight w:val="0"/>
                      <w:marTop w:val="0"/>
                      <w:marBottom w:val="0"/>
                      <w:divBdr>
                        <w:top w:val="none" w:sz="0" w:space="0" w:color="auto"/>
                        <w:left w:val="none" w:sz="0" w:space="0" w:color="auto"/>
                        <w:bottom w:val="none" w:sz="0" w:space="0" w:color="auto"/>
                        <w:right w:val="none" w:sz="0" w:space="0" w:color="auto"/>
                      </w:divBdr>
                    </w:div>
                  </w:divsChild>
                </w:div>
                <w:div w:id="577978514">
                  <w:marLeft w:val="0"/>
                  <w:marRight w:val="0"/>
                  <w:marTop w:val="0"/>
                  <w:marBottom w:val="0"/>
                  <w:divBdr>
                    <w:top w:val="none" w:sz="0" w:space="0" w:color="auto"/>
                    <w:left w:val="none" w:sz="0" w:space="0" w:color="auto"/>
                    <w:bottom w:val="none" w:sz="0" w:space="0" w:color="auto"/>
                    <w:right w:val="none" w:sz="0" w:space="0" w:color="auto"/>
                  </w:divBdr>
                  <w:divsChild>
                    <w:div w:id="1633907024">
                      <w:marLeft w:val="0"/>
                      <w:marRight w:val="0"/>
                      <w:marTop w:val="0"/>
                      <w:marBottom w:val="0"/>
                      <w:divBdr>
                        <w:top w:val="none" w:sz="0" w:space="0" w:color="auto"/>
                        <w:left w:val="none" w:sz="0" w:space="0" w:color="auto"/>
                        <w:bottom w:val="none" w:sz="0" w:space="0" w:color="auto"/>
                        <w:right w:val="none" w:sz="0" w:space="0" w:color="auto"/>
                      </w:divBdr>
                    </w:div>
                  </w:divsChild>
                </w:div>
                <w:div w:id="1876041661">
                  <w:marLeft w:val="0"/>
                  <w:marRight w:val="0"/>
                  <w:marTop w:val="0"/>
                  <w:marBottom w:val="0"/>
                  <w:divBdr>
                    <w:top w:val="none" w:sz="0" w:space="0" w:color="auto"/>
                    <w:left w:val="none" w:sz="0" w:space="0" w:color="auto"/>
                    <w:bottom w:val="none" w:sz="0" w:space="0" w:color="auto"/>
                    <w:right w:val="none" w:sz="0" w:space="0" w:color="auto"/>
                  </w:divBdr>
                  <w:divsChild>
                    <w:div w:id="1190682063">
                      <w:marLeft w:val="0"/>
                      <w:marRight w:val="0"/>
                      <w:marTop w:val="0"/>
                      <w:marBottom w:val="0"/>
                      <w:divBdr>
                        <w:top w:val="none" w:sz="0" w:space="0" w:color="auto"/>
                        <w:left w:val="none" w:sz="0" w:space="0" w:color="auto"/>
                        <w:bottom w:val="none" w:sz="0" w:space="0" w:color="auto"/>
                        <w:right w:val="none" w:sz="0" w:space="0" w:color="auto"/>
                      </w:divBdr>
                    </w:div>
                  </w:divsChild>
                </w:div>
                <w:div w:id="719401389">
                  <w:marLeft w:val="0"/>
                  <w:marRight w:val="0"/>
                  <w:marTop w:val="0"/>
                  <w:marBottom w:val="0"/>
                  <w:divBdr>
                    <w:top w:val="none" w:sz="0" w:space="0" w:color="auto"/>
                    <w:left w:val="none" w:sz="0" w:space="0" w:color="auto"/>
                    <w:bottom w:val="none" w:sz="0" w:space="0" w:color="auto"/>
                    <w:right w:val="none" w:sz="0" w:space="0" w:color="auto"/>
                  </w:divBdr>
                  <w:divsChild>
                    <w:div w:id="837384795">
                      <w:marLeft w:val="0"/>
                      <w:marRight w:val="0"/>
                      <w:marTop w:val="0"/>
                      <w:marBottom w:val="0"/>
                      <w:divBdr>
                        <w:top w:val="none" w:sz="0" w:space="0" w:color="auto"/>
                        <w:left w:val="none" w:sz="0" w:space="0" w:color="auto"/>
                        <w:bottom w:val="none" w:sz="0" w:space="0" w:color="auto"/>
                        <w:right w:val="none" w:sz="0" w:space="0" w:color="auto"/>
                      </w:divBdr>
                    </w:div>
                  </w:divsChild>
                </w:div>
                <w:div w:id="1688018963">
                  <w:marLeft w:val="0"/>
                  <w:marRight w:val="0"/>
                  <w:marTop w:val="0"/>
                  <w:marBottom w:val="0"/>
                  <w:divBdr>
                    <w:top w:val="none" w:sz="0" w:space="0" w:color="auto"/>
                    <w:left w:val="none" w:sz="0" w:space="0" w:color="auto"/>
                    <w:bottom w:val="none" w:sz="0" w:space="0" w:color="auto"/>
                    <w:right w:val="none" w:sz="0" w:space="0" w:color="auto"/>
                  </w:divBdr>
                  <w:divsChild>
                    <w:div w:id="1146119177">
                      <w:marLeft w:val="0"/>
                      <w:marRight w:val="0"/>
                      <w:marTop w:val="0"/>
                      <w:marBottom w:val="0"/>
                      <w:divBdr>
                        <w:top w:val="none" w:sz="0" w:space="0" w:color="auto"/>
                        <w:left w:val="none" w:sz="0" w:space="0" w:color="auto"/>
                        <w:bottom w:val="none" w:sz="0" w:space="0" w:color="auto"/>
                        <w:right w:val="none" w:sz="0" w:space="0" w:color="auto"/>
                      </w:divBdr>
                    </w:div>
                  </w:divsChild>
                </w:div>
                <w:div w:id="1237012877">
                  <w:marLeft w:val="0"/>
                  <w:marRight w:val="0"/>
                  <w:marTop w:val="0"/>
                  <w:marBottom w:val="0"/>
                  <w:divBdr>
                    <w:top w:val="none" w:sz="0" w:space="0" w:color="auto"/>
                    <w:left w:val="none" w:sz="0" w:space="0" w:color="auto"/>
                    <w:bottom w:val="none" w:sz="0" w:space="0" w:color="auto"/>
                    <w:right w:val="none" w:sz="0" w:space="0" w:color="auto"/>
                  </w:divBdr>
                  <w:divsChild>
                    <w:div w:id="151146136">
                      <w:marLeft w:val="0"/>
                      <w:marRight w:val="0"/>
                      <w:marTop w:val="0"/>
                      <w:marBottom w:val="0"/>
                      <w:divBdr>
                        <w:top w:val="none" w:sz="0" w:space="0" w:color="auto"/>
                        <w:left w:val="none" w:sz="0" w:space="0" w:color="auto"/>
                        <w:bottom w:val="none" w:sz="0" w:space="0" w:color="auto"/>
                        <w:right w:val="none" w:sz="0" w:space="0" w:color="auto"/>
                      </w:divBdr>
                    </w:div>
                  </w:divsChild>
                </w:div>
                <w:div w:id="842092487">
                  <w:marLeft w:val="0"/>
                  <w:marRight w:val="0"/>
                  <w:marTop w:val="0"/>
                  <w:marBottom w:val="0"/>
                  <w:divBdr>
                    <w:top w:val="none" w:sz="0" w:space="0" w:color="auto"/>
                    <w:left w:val="none" w:sz="0" w:space="0" w:color="auto"/>
                    <w:bottom w:val="none" w:sz="0" w:space="0" w:color="auto"/>
                    <w:right w:val="none" w:sz="0" w:space="0" w:color="auto"/>
                  </w:divBdr>
                  <w:divsChild>
                    <w:div w:id="90395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93577">
          <w:marLeft w:val="0"/>
          <w:marRight w:val="0"/>
          <w:marTop w:val="0"/>
          <w:marBottom w:val="0"/>
          <w:divBdr>
            <w:top w:val="none" w:sz="0" w:space="0" w:color="auto"/>
            <w:left w:val="none" w:sz="0" w:space="0" w:color="auto"/>
            <w:bottom w:val="none" w:sz="0" w:space="0" w:color="auto"/>
            <w:right w:val="none" w:sz="0" w:space="0" w:color="auto"/>
          </w:divBdr>
        </w:div>
        <w:div w:id="1883636875">
          <w:marLeft w:val="0"/>
          <w:marRight w:val="0"/>
          <w:marTop w:val="0"/>
          <w:marBottom w:val="0"/>
          <w:divBdr>
            <w:top w:val="none" w:sz="0" w:space="0" w:color="auto"/>
            <w:left w:val="none" w:sz="0" w:space="0" w:color="auto"/>
            <w:bottom w:val="none" w:sz="0" w:space="0" w:color="auto"/>
            <w:right w:val="none" w:sz="0" w:space="0" w:color="auto"/>
          </w:divBdr>
        </w:div>
        <w:div w:id="1523788067">
          <w:marLeft w:val="0"/>
          <w:marRight w:val="0"/>
          <w:marTop w:val="0"/>
          <w:marBottom w:val="0"/>
          <w:divBdr>
            <w:top w:val="none" w:sz="0" w:space="0" w:color="auto"/>
            <w:left w:val="none" w:sz="0" w:space="0" w:color="auto"/>
            <w:bottom w:val="none" w:sz="0" w:space="0" w:color="auto"/>
            <w:right w:val="none" w:sz="0" w:space="0" w:color="auto"/>
          </w:divBdr>
        </w:div>
        <w:div w:id="1050760530">
          <w:marLeft w:val="0"/>
          <w:marRight w:val="0"/>
          <w:marTop w:val="0"/>
          <w:marBottom w:val="0"/>
          <w:divBdr>
            <w:top w:val="none" w:sz="0" w:space="0" w:color="auto"/>
            <w:left w:val="none" w:sz="0" w:space="0" w:color="auto"/>
            <w:bottom w:val="none" w:sz="0" w:space="0" w:color="auto"/>
            <w:right w:val="none" w:sz="0" w:space="0" w:color="auto"/>
          </w:divBdr>
        </w:div>
        <w:div w:id="1096244845">
          <w:marLeft w:val="0"/>
          <w:marRight w:val="0"/>
          <w:marTop w:val="0"/>
          <w:marBottom w:val="0"/>
          <w:divBdr>
            <w:top w:val="none" w:sz="0" w:space="0" w:color="auto"/>
            <w:left w:val="none" w:sz="0" w:space="0" w:color="auto"/>
            <w:bottom w:val="none" w:sz="0" w:space="0" w:color="auto"/>
            <w:right w:val="none" w:sz="0" w:space="0" w:color="auto"/>
          </w:divBdr>
        </w:div>
        <w:div w:id="486242129">
          <w:marLeft w:val="0"/>
          <w:marRight w:val="0"/>
          <w:marTop w:val="0"/>
          <w:marBottom w:val="0"/>
          <w:divBdr>
            <w:top w:val="none" w:sz="0" w:space="0" w:color="auto"/>
            <w:left w:val="none" w:sz="0" w:space="0" w:color="auto"/>
            <w:bottom w:val="none" w:sz="0" w:space="0" w:color="auto"/>
            <w:right w:val="none" w:sz="0" w:space="0" w:color="auto"/>
          </w:divBdr>
        </w:div>
        <w:div w:id="2144735632">
          <w:marLeft w:val="0"/>
          <w:marRight w:val="0"/>
          <w:marTop w:val="0"/>
          <w:marBottom w:val="0"/>
          <w:divBdr>
            <w:top w:val="none" w:sz="0" w:space="0" w:color="auto"/>
            <w:left w:val="none" w:sz="0" w:space="0" w:color="auto"/>
            <w:bottom w:val="none" w:sz="0" w:space="0" w:color="auto"/>
            <w:right w:val="none" w:sz="0" w:space="0" w:color="auto"/>
          </w:divBdr>
        </w:div>
        <w:div w:id="1378237648">
          <w:marLeft w:val="0"/>
          <w:marRight w:val="0"/>
          <w:marTop w:val="0"/>
          <w:marBottom w:val="0"/>
          <w:divBdr>
            <w:top w:val="none" w:sz="0" w:space="0" w:color="auto"/>
            <w:left w:val="none" w:sz="0" w:space="0" w:color="auto"/>
            <w:bottom w:val="none" w:sz="0" w:space="0" w:color="auto"/>
            <w:right w:val="none" w:sz="0" w:space="0" w:color="auto"/>
          </w:divBdr>
        </w:div>
        <w:div w:id="558638366">
          <w:marLeft w:val="0"/>
          <w:marRight w:val="0"/>
          <w:marTop w:val="0"/>
          <w:marBottom w:val="0"/>
          <w:divBdr>
            <w:top w:val="none" w:sz="0" w:space="0" w:color="auto"/>
            <w:left w:val="none" w:sz="0" w:space="0" w:color="auto"/>
            <w:bottom w:val="none" w:sz="0" w:space="0" w:color="auto"/>
            <w:right w:val="none" w:sz="0" w:space="0" w:color="auto"/>
          </w:divBdr>
        </w:div>
        <w:div w:id="1997302552">
          <w:marLeft w:val="0"/>
          <w:marRight w:val="0"/>
          <w:marTop w:val="0"/>
          <w:marBottom w:val="0"/>
          <w:divBdr>
            <w:top w:val="none" w:sz="0" w:space="0" w:color="auto"/>
            <w:left w:val="none" w:sz="0" w:space="0" w:color="auto"/>
            <w:bottom w:val="none" w:sz="0" w:space="0" w:color="auto"/>
            <w:right w:val="none" w:sz="0" w:space="0" w:color="auto"/>
          </w:divBdr>
        </w:div>
        <w:div w:id="822547098">
          <w:marLeft w:val="0"/>
          <w:marRight w:val="0"/>
          <w:marTop w:val="0"/>
          <w:marBottom w:val="0"/>
          <w:divBdr>
            <w:top w:val="none" w:sz="0" w:space="0" w:color="auto"/>
            <w:left w:val="none" w:sz="0" w:space="0" w:color="auto"/>
            <w:bottom w:val="none" w:sz="0" w:space="0" w:color="auto"/>
            <w:right w:val="none" w:sz="0" w:space="0" w:color="auto"/>
          </w:divBdr>
        </w:div>
        <w:div w:id="765343164">
          <w:marLeft w:val="0"/>
          <w:marRight w:val="0"/>
          <w:marTop w:val="0"/>
          <w:marBottom w:val="0"/>
          <w:divBdr>
            <w:top w:val="none" w:sz="0" w:space="0" w:color="auto"/>
            <w:left w:val="none" w:sz="0" w:space="0" w:color="auto"/>
            <w:bottom w:val="none" w:sz="0" w:space="0" w:color="auto"/>
            <w:right w:val="none" w:sz="0" w:space="0" w:color="auto"/>
          </w:divBdr>
        </w:div>
        <w:div w:id="2061975469">
          <w:marLeft w:val="0"/>
          <w:marRight w:val="0"/>
          <w:marTop w:val="0"/>
          <w:marBottom w:val="0"/>
          <w:divBdr>
            <w:top w:val="none" w:sz="0" w:space="0" w:color="auto"/>
            <w:left w:val="none" w:sz="0" w:space="0" w:color="auto"/>
            <w:bottom w:val="none" w:sz="0" w:space="0" w:color="auto"/>
            <w:right w:val="none" w:sz="0" w:space="0" w:color="auto"/>
          </w:divBdr>
        </w:div>
        <w:div w:id="1788507380">
          <w:marLeft w:val="0"/>
          <w:marRight w:val="0"/>
          <w:marTop w:val="0"/>
          <w:marBottom w:val="0"/>
          <w:divBdr>
            <w:top w:val="none" w:sz="0" w:space="0" w:color="auto"/>
            <w:left w:val="none" w:sz="0" w:space="0" w:color="auto"/>
            <w:bottom w:val="none" w:sz="0" w:space="0" w:color="auto"/>
            <w:right w:val="none" w:sz="0" w:space="0" w:color="auto"/>
          </w:divBdr>
        </w:div>
        <w:div w:id="1485660737">
          <w:marLeft w:val="0"/>
          <w:marRight w:val="0"/>
          <w:marTop w:val="0"/>
          <w:marBottom w:val="0"/>
          <w:divBdr>
            <w:top w:val="none" w:sz="0" w:space="0" w:color="auto"/>
            <w:left w:val="none" w:sz="0" w:space="0" w:color="auto"/>
            <w:bottom w:val="none" w:sz="0" w:space="0" w:color="auto"/>
            <w:right w:val="none" w:sz="0" w:space="0" w:color="auto"/>
          </w:divBdr>
        </w:div>
        <w:div w:id="2076272284">
          <w:marLeft w:val="0"/>
          <w:marRight w:val="0"/>
          <w:marTop w:val="0"/>
          <w:marBottom w:val="0"/>
          <w:divBdr>
            <w:top w:val="none" w:sz="0" w:space="0" w:color="auto"/>
            <w:left w:val="none" w:sz="0" w:space="0" w:color="auto"/>
            <w:bottom w:val="none" w:sz="0" w:space="0" w:color="auto"/>
            <w:right w:val="none" w:sz="0" w:space="0" w:color="auto"/>
          </w:divBdr>
        </w:div>
        <w:div w:id="431554624">
          <w:marLeft w:val="0"/>
          <w:marRight w:val="0"/>
          <w:marTop w:val="0"/>
          <w:marBottom w:val="0"/>
          <w:divBdr>
            <w:top w:val="none" w:sz="0" w:space="0" w:color="auto"/>
            <w:left w:val="none" w:sz="0" w:space="0" w:color="auto"/>
            <w:bottom w:val="none" w:sz="0" w:space="0" w:color="auto"/>
            <w:right w:val="none" w:sz="0" w:space="0" w:color="auto"/>
          </w:divBdr>
        </w:div>
        <w:div w:id="780538813">
          <w:marLeft w:val="0"/>
          <w:marRight w:val="0"/>
          <w:marTop w:val="0"/>
          <w:marBottom w:val="0"/>
          <w:divBdr>
            <w:top w:val="none" w:sz="0" w:space="0" w:color="auto"/>
            <w:left w:val="none" w:sz="0" w:space="0" w:color="auto"/>
            <w:bottom w:val="none" w:sz="0" w:space="0" w:color="auto"/>
            <w:right w:val="none" w:sz="0" w:space="0" w:color="auto"/>
          </w:divBdr>
        </w:div>
        <w:div w:id="990258935">
          <w:marLeft w:val="0"/>
          <w:marRight w:val="0"/>
          <w:marTop w:val="0"/>
          <w:marBottom w:val="0"/>
          <w:divBdr>
            <w:top w:val="none" w:sz="0" w:space="0" w:color="auto"/>
            <w:left w:val="none" w:sz="0" w:space="0" w:color="auto"/>
            <w:bottom w:val="none" w:sz="0" w:space="0" w:color="auto"/>
            <w:right w:val="none" w:sz="0" w:space="0" w:color="auto"/>
          </w:divBdr>
        </w:div>
        <w:div w:id="1693415240">
          <w:marLeft w:val="0"/>
          <w:marRight w:val="0"/>
          <w:marTop w:val="0"/>
          <w:marBottom w:val="0"/>
          <w:divBdr>
            <w:top w:val="none" w:sz="0" w:space="0" w:color="auto"/>
            <w:left w:val="none" w:sz="0" w:space="0" w:color="auto"/>
            <w:bottom w:val="none" w:sz="0" w:space="0" w:color="auto"/>
            <w:right w:val="none" w:sz="0" w:space="0" w:color="auto"/>
          </w:divBdr>
        </w:div>
        <w:div w:id="1116027414">
          <w:marLeft w:val="0"/>
          <w:marRight w:val="0"/>
          <w:marTop w:val="0"/>
          <w:marBottom w:val="0"/>
          <w:divBdr>
            <w:top w:val="none" w:sz="0" w:space="0" w:color="auto"/>
            <w:left w:val="none" w:sz="0" w:space="0" w:color="auto"/>
            <w:bottom w:val="none" w:sz="0" w:space="0" w:color="auto"/>
            <w:right w:val="none" w:sz="0" w:space="0" w:color="auto"/>
          </w:divBdr>
        </w:div>
        <w:div w:id="2036151258">
          <w:marLeft w:val="0"/>
          <w:marRight w:val="0"/>
          <w:marTop w:val="0"/>
          <w:marBottom w:val="0"/>
          <w:divBdr>
            <w:top w:val="none" w:sz="0" w:space="0" w:color="auto"/>
            <w:left w:val="none" w:sz="0" w:space="0" w:color="auto"/>
            <w:bottom w:val="none" w:sz="0" w:space="0" w:color="auto"/>
            <w:right w:val="none" w:sz="0" w:space="0" w:color="auto"/>
          </w:divBdr>
        </w:div>
        <w:div w:id="1209756486">
          <w:marLeft w:val="0"/>
          <w:marRight w:val="0"/>
          <w:marTop w:val="0"/>
          <w:marBottom w:val="0"/>
          <w:divBdr>
            <w:top w:val="none" w:sz="0" w:space="0" w:color="auto"/>
            <w:left w:val="none" w:sz="0" w:space="0" w:color="auto"/>
            <w:bottom w:val="none" w:sz="0" w:space="0" w:color="auto"/>
            <w:right w:val="none" w:sz="0" w:space="0" w:color="auto"/>
          </w:divBdr>
        </w:div>
        <w:div w:id="175191423">
          <w:marLeft w:val="0"/>
          <w:marRight w:val="0"/>
          <w:marTop w:val="0"/>
          <w:marBottom w:val="0"/>
          <w:divBdr>
            <w:top w:val="none" w:sz="0" w:space="0" w:color="auto"/>
            <w:left w:val="none" w:sz="0" w:space="0" w:color="auto"/>
            <w:bottom w:val="none" w:sz="0" w:space="0" w:color="auto"/>
            <w:right w:val="none" w:sz="0" w:space="0" w:color="auto"/>
          </w:divBdr>
        </w:div>
        <w:div w:id="1493716224">
          <w:marLeft w:val="0"/>
          <w:marRight w:val="0"/>
          <w:marTop w:val="0"/>
          <w:marBottom w:val="0"/>
          <w:divBdr>
            <w:top w:val="none" w:sz="0" w:space="0" w:color="auto"/>
            <w:left w:val="none" w:sz="0" w:space="0" w:color="auto"/>
            <w:bottom w:val="none" w:sz="0" w:space="0" w:color="auto"/>
            <w:right w:val="none" w:sz="0" w:space="0" w:color="auto"/>
          </w:divBdr>
        </w:div>
        <w:div w:id="200559333">
          <w:marLeft w:val="0"/>
          <w:marRight w:val="0"/>
          <w:marTop w:val="0"/>
          <w:marBottom w:val="0"/>
          <w:divBdr>
            <w:top w:val="none" w:sz="0" w:space="0" w:color="auto"/>
            <w:left w:val="none" w:sz="0" w:space="0" w:color="auto"/>
            <w:bottom w:val="none" w:sz="0" w:space="0" w:color="auto"/>
            <w:right w:val="none" w:sz="0" w:space="0" w:color="auto"/>
          </w:divBdr>
        </w:div>
        <w:div w:id="1651979362">
          <w:marLeft w:val="0"/>
          <w:marRight w:val="0"/>
          <w:marTop w:val="0"/>
          <w:marBottom w:val="0"/>
          <w:divBdr>
            <w:top w:val="none" w:sz="0" w:space="0" w:color="auto"/>
            <w:left w:val="none" w:sz="0" w:space="0" w:color="auto"/>
            <w:bottom w:val="none" w:sz="0" w:space="0" w:color="auto"/>
            <w:right w:val="none" w:sz="0" w:space="0" w:color="auto"/>
          </w:divBdr>
        </w:div>
        <w:div w:id="1018124390">
          <w:marLeft w:val="0"/>
          <w:marRight w:val="0"/>
          <w:marTop w:val="0"/>
          <w:marBottom w:val="0"/>
          <w:divBdr>
            <w:top w:val="none" w:sz="0" w:space="0" w:color="auto"/>
            <w:left w:val="none" w:sz="0" w:space="0" w:color="auto"/>
            <w:bottom w:val="none" w:sz="0" w:space="0" w:color="auto"/>
            <w:right w:val="none" w:sz="0" w:space="0" w:color="auto"/>
          </w:divBdr>
        </w:div>
        <w:div w:id="1676110218">
          <w:marLeft w:val="0"/>
          <w:marRight w:val="0"/>
          <w:marTop w:val="0"/>
          <w:marBottom w:val="0"/>
          <w:divBdr>
            <w:top w:val="none" w:sz="0" w:space="0" w:color="auto"/>
            <w:left w:val="none" w:sz="0" w:space="0" w:color="auto"/>
            <w:bottom w:val="none" w:sz="0" w:space="0" w:color="auto"/>
            <w:right w:val="none" w:sz="0" w:space="0" w:color="auto"/>
          </w:divBdr>
        </w:div>
        <w:div w:id="62145884">
          <w:marLeft w:val="0"/>
          <w:marRight w:val="0"/>
          <w:marTop w:val="0"/>
          <w:marBottom w:val="0"/>
          <w:divBdr>
            <w:top w:val="none" w:sz="0" w:space="0" w:color="auto"/>
            <w:left w:val="none" w:sz="0" w:space="0" w:color="auto"/>
            <w:bottom w:val="none" w:sz="0" w:space="0" w:color="auto"/>
            <w:right w:val="none" w:sz="0" w:space="0" w:color="auto"/>
          </w:divBdr>
        </w:div>
        <w:div w:id="25181514">
          <w:marLeft w:val="0"/>
          <w:marRight w:val="0"/>
          <w:marTop w:val="0"/>
          <w:marBottom w:val="0"/>
          <w:divBdr>
            <w:top w:val="none" w:sz="0" w:space="0" w:color="auto"/>
            <w:left w:val="none" w:sz="0" w:space="0" w:color="auto"/>
            <w:bottom w:val="none" w:sz="0" w:space="0" w:color="auto"/>
            <w:right w:val="none" w:sz="0" w:space="0" w:color="auto"/>
          </w:divBdr>
        </w:div>
        <w:div w:id="1767071259">
          <w:marLeft w:val="0"/>
          <w:marRight w:val="0"/>
          <w:marTop w:val="0"/>
          <w:marBottom w:val="0"/>
          <w:divBdr>
            <w:top w:val="none" w:sz="0" w:space="0" w:color="auto"/>
            <w:left w:val="none" w:sz="0" w:space="0" w:color="auto"/>
            <w:bottom w:val="none" w:sz="0" w:space="0" w:color="auto"/>
            <w:right w:val="none" w:sz="0" w:space="0" w:color="auto"/>
          </w:divBdr>
        </w:div>
        <w:div w:id="1225532801">
          <w:marLeft w:val="0"/>
          <w:marRight w:val="0"/>
          <w:marTop w:val="0"/>
          <w:marBottom w:val="0"/>
          <w:divBdr>
            <w:top w:val="none" w:sz="0" w:space="0" w:color="auto"/>
            <w:left w:val="none" w:sz="0" w:space="0" w:color="auto"/>
            <w:bottom w:val="none" w:sz="0" w:space="0" w:color="auto"/>
            <w:right w:val="none" w:sz="0" w:space="0" w:color="auto"/>
          </w:divBdr>
        </w:div>
        <w:div w:id="1378579349">
          <w:marLeft w:val="0"/>
          <w:marRight w:val="0"/>
          <w:marTop w:val="0"/>
          <w:marBottom w:val="0"/>
          <w:divBdr>
            <w:top w:val="none" w:sz="0" w:space="0" w:color="auto"/>
            <w:left w:val="none" w:sz="0" w:space="0" w:color="auto"/>
            <w:bottom w:val="none" w:sz="0" w:space="0" w:color="auto"/>
            <w:right w:val="none" w:sz="0" w:space="0" w:color="auto"/>
          </w:divBdr>
        </w:div>
        <w:div w:id="1355880386">
          <w:marLeft w:val="0"/>
          <w:marRight w:val="0"/>
          <w:marTop w:val="0"/>
          <w:marBottom w:val="0"/>
          <w:divBdr>
            <w:top w:val="none" w:sz="0" w:space="0" w:color="auto"/>
            <w:left w:val="none" w:sz="0" w:space="0" w:color="auto"/>
            <w:bottom w:val="none" w:sz="0" w:space="0" w:color="auto"/>
            <w:right w:val="none" w:sz="0" w:space="0" w:color="auto"/>
          </w:divBdr>
        </w:div>
        <w:div w:id="1869755904">
          <w:marLeft w:val="0"/>
          <w:marRight w:val="0"/>
          <w:marTop w:val="0"/>
          <w:marBottom w:val="0"/>
          <w:divBdr>
            <w:top w:val="none" w:sz="0" w:space="0" w:color="auto"/>
            <w:left w:val="none" w:sz="0" w:space="0" w:color="auto"/>
            <w:bottom w:val="none" w:sz="0" w:space="0" w:color="auto"/>
            <w:right w:val="none" w:sz="0" w:space="0" w:color="auto"/>
          </w:divBdr>
        </w:div>
        <w:div w:id="686950647">
          <w:marLeft w:val="0"/>
          <w:marRight w:val="0"/>
          <w:marTop w:val="0"/>
          <w:marBottom w:val="0"/>
          <w:divBdr>
            <w:top w:val="none" w:sz="0" w:space="0" w:color="auto"/>
            <w:left w:val="none" w:sz="0" w:space="0" w:color="auto"/>
            <w:bottom w:val="none" w:sz="0" w:space="0" w:color="auto"/>
            <w:right w:val="none" w:sz="0" w:space="0" w:color="auto"/>
          </w:divBdr>
        </w:div>
        <w:div w:id="2011441885">
          <w:marLeft w:val="0"/>
          <w:marRight w:val="0"/>
          <w:marTop w:val="0"/>
          <w:marBottom w:val="0"/>
          <w:divBdr>
            <w:top w:val="none" w:sz="0" w:space="0" w:color="auto"/>
            <w:left w:val="none" w:sz="0" w:space="0" w:color="auto"/>
            <w:bottom w:val="none" w:sz="0" w:space="0" w:color="auto"/>
            <w:right w:val="none" w:sz="0" w:space="0" w:color="auto"/>
          </w:divBdr>
        </w:div>
        <w:div w:id="62072381">
          <w:marLeft w:val="0"/>
          <w:marRight w:val="0"/>
          <w:marTop w:val="0"/>
          <w:marBottom w:val="0"/>
          <w:divBdr>
            <w:top w:val="none" w:sz="0" w:space="0" w:color="auto"/>
            <w:left w:val="none" w:sz="0" w:space="0" w:color="auto"/>
            <w:bottom w:val="none" w:sz="0" w:space="0" w:color="auto"/>
            <w:right w:val="none" w:sz="0" w:space="0" w:color="auto"/>
          </w:divBdr>
        </w:div>
        <w:div w:id="392193197">
          <w:marLeft w:val="0"/>
          <w:marRight w:val="0"/>
          <w:marTop w:val="0"/>
          <w:marBottom w:val="0"/>
          <w:divBdr>
            <w:top w:val="none" w:sz="0" w:space="0" w:color="auto"/>
            <w:left w:val="none" w:sz="0" w:space="0" w:color="auto"/>
            <w:bottom w:val="none" w:sz="0" w:space="0" w:color="auto"/>
            <w:right w:val="none" w:sz="0" w:space="0" w:color="auto"/>
          </w:divBdr>
        </w:div>
        <w:div w:id="1731224827">
          <w:marLeft w:val="0"/>
          <w:marRight w:val="0"/>
          <w:marTop w:val="0"/>
          <w:marBottom w:val="0"/>
          <w:divBdr>
            <w:top w:val="none" w:sz="0" w:space="0" w:color="auto"/>
            <w:left w:val="none" w:sz="0" w:space="0" w:color="auto"/>
            <w:bottom w:val="none" w:sz="0" w:space="0" w:color="auto"/>
            <w:right w:val="none" w:sz="0" w:space="0" w:color="auto"/>
          </w:divBdr>
        </w:div>
        <w:div w:id="488208322">
          <w:marLeft w:val="0"/>
          <w:marRight w:val="0"/>
          <w:marTop w:val="0"/>
          <w:marBottom w:val="0"/>
          <w:divBdr>
            <w:top w:val="none" w:sz="0" w:space="0" w:color="auto"/>
            <w:left w:val="none" w:sz="0" w:space="0" w:color="auto"/>
            <w:bottom w:val="none" w:sz="0" w:space="0" w:color="auto"/>
            <w:right w:val="none" w:sz="0" w:space="0" w:color="auto"/>
          </w:divBdr>
        </w:div>
        <w:div w:id="1955165326">
          <w:marLeft w:val="0"/>
          <w:marRight w:val="0"/>
          <w:marTop w:val="0"/>
          <w:marBottom w:val="0"/>
          <w:divBdr>
            <w:top w:val="none" w:sz="0" w:space="0" w:color="auto"/>
            <w:left w:val="none" w:sz="0" w:space="0" w:color="auto"/>
            <w:bottom w:val="none" w:sz="0" w:space="0" w:color="auto"/>
            <w:right w:val="none" w:sz="0" w:space="0" w:color="auto"/>
          </w:divBdr>
        </w:div>
        <w:div w:id="333924544">
          <w:marLeft w:val="0"/>
          <w:marRight w:val="0"/>
          <w:marTop w:val="0"/>
          <w:marBottom w:val="0"/>
          <w:divBdr>
            <w:top w:val="none" w:sz="0" w:space="0" w:color="auto"/>
            <w:left w:val="none" w:sz="0" w:space="0" w:color="auto"/>
            <w:bottom w:val="none" w:sz="0" w:space="0" w:color="auto"/>
            <w:right w:val="none" w:sz="0" w:space="0" w:color="auto"/>
          </w:divBdr>
        </w:div>
      </w:divsChild>
    </w:div>
    <w:div w:id="56831229">
      <w:bodyDiv w:val="1"/>
      <w:marLeft w:val="0"/>
      <w:marRight w:val="0"/>
      <w:marTop w:val="0"/>
      <w:marBottom w:val="0"/>
      <w:divBdr>
        <w:top w:val="none" w:sz="0" w:space="0" w:color="auto"/>
        <w:left w:val="none" w:sz="0" w:space="0" w:color="auto"/>
        <w:bottom w:val="none" w:sz="0" w:space="0" w:color="auto"/>
        <w:right w:val="none" w:sz="0" w:space="0" w:color="auto"/>
      </w:divBdr>
    </w:div>
    <w:div w:id="129634627">
      <w:bodyDiv w:val="1"/>
      <w:marLeft w:val="0"/>
      <w:marRight w:val="0"/>
      <w:marTop w:val="0"/>
      <w:marBottom w:val="0"/>
      <w:divBdr>
        <w:top w:val="none" w:sz="0" w:space="0" w:color="auto"/>
        <w:left w:val="none" w:sz="0" w:space="0" w:color="auto"/>
        <w:bottom w:val="none" w:sz="0" w:space="0" w:color="auto"/>
        <w:right w:val="none" w:sz="0" w:space="0" w:color="auto"/>
      </w:divBdr>
      <w:divsChild>
        <w:div w:id="765274734">
          <w:marLeft w:val="0"/>
          <w:marRight w:val="0"/>
          <w:marTop w:val="0"/>
          <w:marBottom w:val="0"/>
          <w:divBdr>
            <w:top w:val="none" w:sz="0" w:space="0" w:color="auto"/>
            <w:left w:val="none" w:sz="0" w:space="0" w:color="auto"/>
            <w:bottom w:val="none" w:sz="0" w:space="0" w:color="auto"/>
            <w:right w:val="none" w:sz="0" w:space="0" w:color="auto"/>
          </w:divBdr>
        </w:div>
        <w:div w:id="1663504222">
          <w:marLeft w:val="0"/>
          <w:marRight w:val="0"/>
          <w:marTop w:val="0"/>
          <w:marBottom w:val="0"/>
          <w:divBdr>
            <w:top w:val="none" w:sz="0" w:space="0" w:color="auto"/>
            <w:left w:val="none" w:sz="0" w:space="0" w:color="auto"/>
            <w:bottom w:val="none" w:sz="0" w:space="0" w:color="auto"/>
            <w:right w:val="none" w:sz="0" w:space="0" w:color="auto"/>
          </w:divBdr>
        </w:div>
      </w:divsChild>
    </w:div>
    <w:div w:id="141972815">
      <w:bodyDiv w:val="1"/>
      <w:marLeft w:val="0"/>
      <w:marRight w:val="0"/>
      <w:marTop w:val="0"/>
      <w:marBottom w:val="0"/>
      <w:divBdr>
        <w:top w:val="none" w:sz="0" w:space="0" w:color="auto"/>
        <w:left w:val="none" w:sz="0" w:space="0" w:color="auto"/>
        <w:bottom w:val="none" w:sz="0" w:space="0" w:color="auto"/>
        <w:right w:val="none" w:sz="0" w:space="0" w:color="auto"/>
      </w:divBdr>
    </w:div>
    <w:div w:id="153255607">
      <w:bodyDiv w:val="1"/>
      <w:marLeft w:val="0"/>
      <w:marRight w:val="0"/>
      <w:marTop w:val="0"/>
      <w:marBottom w:val="0"/>
      <w:divBdr>
        <w:top w:val="none" w:sz="0" w:space="0" w:color="auto"/>
        <w:left w:val="none" w:sz="0" w:space="0" w:color="auto"/>
        <w:bottom w:val="none" w:sz="0" w:space="0" w:color="auto"/>
        <w:right w:val="none" w:sz="0" w:space="0" w:color="auto"/>
      </w:divBdr>
    </w:div>
    <w:div w:id="224025572">
      <w:bodyDiv w:val="1"/>
      <w:marLeft w:val="0"/>
      <w:marRight w:val="0"/>
      <w:marTop w:val="0"/>
      <w:marBottom w:val="0"/>
      <w:divBdr>
        <w:top w:val="none" w:sz="0" w:space="0" w:color="auto"/>
        <w:left w:val="none" w:sz="0" w:space="0" w:color="auto"/>
        <w:bottom w:val="none" w:sz="0" w:space="0" w:color="auto"/>
        <w:right w:val="none" w:sz="0" w:space="0" w:color="auto"/>
      </w:divBdr>
      <w:divsChild>
        <w:div w:id="1048457201">
          <w:marLeft w:val="0"/>
          <w:marRight w:val="0"/>
          <w:marTop w:val="0"/>
          <w:marBottom w:val="0"/>
          <w:divBdr>
            <w:top w:val="none" w:sz="0" w:space="0" w:color="auto"/>
            <w:left w:val="none" w:sz="0" w:space="0" w:color="auto"/>
            <w:bottom w:val="none" w:sz="0" w:space="0" w:color="auto"/>
            <w:right w:val="none" w:sz="0" w:space="0" w:color="auto"/>
          </w:divBdr>
        </w:div>
        <w:div w:id="1177813839">
          <w:marLeft w:val="0"/>
          <w:marRight w:val="0"/>
          <w:marTop w:val="0"/>
          <w:marBottom w:val="0"/>
          <w:divBdr>
            <w:top w:val="none" w:sz="0" w:space="0" w:color="auto"/>
            <w:left w:val="none" w:sz="0" w:space="0" w:color="auto"/>
            <w:bottom w:val="none" w:sz="0" w:space="0" w:color="auto"/>
            <w:right w:val="none" w:sz="0" w:space="0" w:color="auto"/>
          </w:divBdr>
        </w:div>
        <w:div w:id="2009360480">
          <w:marLeft w:val="0"/>
          <w:marRight w:val="0"/>
          <w:marTop w:val="0"/>
          <w:marBottom w:val="0"/>
          <w:divBdr>
            <w:top w:val="none" w:sz="0" w:space="0" w:color="auto"/>
            <w:left w:val="none" w:sz="0" w:space="0" w:color="auto"/>
            <w:bottom w:val="none" w:sz="0" w:space="0" w:color="auto"/>
            <w:right w:val="none" w:sz="0" w:space="0" w:color="auto"/>
          </w:divBdr>
        </w:div>
        <w:div w:id="1456633456">
          <w:marLeft w:val="0"/>
          <w:marRight w:val="0"/>
          <w:marTop w:val="0"/>
          <w:marBottom w:val="0"/>
          <w:divBdr>
            <w:top w:val="none" w:sz="0" w:space="0" w:color="auto"/>
            <w:left w:val="none" w:sz="0" w:space="0" w:color="auto"/>
            <w:bottom w:val="none" w:sz="0" w:space="0" w:color="auto"/>
            <w:right w:val="none" w:sz="0" w:space="0" w:color="auto"/>
          </w:divBdr>
        </w:div>
        <w:div w:id="1594582594">
          <w:marLeft w:val="0"/>
          <w:marRight w:val="0"/>
          <w:marTop w:val="0"/>
          <w:marBottom w:val="0"/>
          <w:divBdr>
            <w:top w:val="none" w:sz="0" w:space="0" w:color="auto"/>
            <w:left w:val="none" w:sz="0" w:space="0" w:color="auto"/>
            <w:bottom w:val="none" w:sz="0" w:space="0" w:color="auto"/>
            <w:right w:val="none" w:sz="0" w:space="0" w:color="auto"/>
          </w:divBdr>
        </w:div>
        <w:div w:id="319626753">
          <w:marLeft w:val="0"/>
          <w:marRight w:val="0"/>
          <w:marTop w:val="0"/>
          <w:marBottom w:val="0"/>
          <w:divBdr>
            <w:top w:val="none" w:sz="0" w:space="0" w:color="auto"/>
            <w:left w:val="none" w:sz="0" w:space="0" w:color="auto"/>
            <w:bottom w:val="none" w:sz="0" w:space="0" w:color="auto"/>
            <w:right w:val="none" w:sz="0" w:space="0" w:color="auto"/>
          </w:divBdr>
        </w:div>
        <w:div w:id="595673130">
          <w:marLeft w:val="0"/>
          <w:marRight w:val="0"/>
          <w:marTop w:val="0"/>
          <w:marBottom w:val="0"/>
          <w:divBdr>
            <w:top w:val="none" w:sz="0" w:space="0" w:color="auto"/>
            <w:left w:val="none" w:sz="0" w:space="0" w:color="auto"/>
            <w:bottom w:val="none" w:sz="0" w:space="0" w:color="auto"/>
            <w:right w:val="none" w:sz="0" w:space="0" w:color="auto"/>
          </w:divBdr>
        </w:div>
        <w:div w:id="367997911">
          <w:marLeft w:val="0"/>
          <w:marRight w:val="0"/>
          <w:marTop w:val="0"/>
          <w:marBottom w:val="0"/>
          <w:divBdr>
            <w:top w:val="none" w:sz="0" w:space="0" w:color="auto"/>
            <w:left w:val="none" w:sz="0" w:space="0" w:color="auto"/>
            <w:bottom w:val="none" w:sz="0" w:space="0" w:color="auto"/>
            <w:right w:val="none" w:sz="0" w:space="0" w:color="auto"/>
          </w:divBdr>
        </w:div>
        <w:div w:id="1742366876">
          <w:marLeft w:val="0"/>
          <w:marRight w:val="0"/>
          <w:marTop w:val="0"/>
          <w:marBottom w:val="0"/>
          <w:divBdr>
            <w:top w:val="none" w:sz="0" w:space="0" w:color="auto"/>
            <w:left w:val="none" w:sz="0" w:space="0" w:color="auto"/>
            <w:bottom w:val="none" w:sz="0" w:space="0" w:color="auto"/>
            <w:right w:val="none" w:sz="0" w:space="0" w:color="auto"/>
          </w:divBdr>
        </w:div>
        <w:div w:id="1559241359">
          <w:marLeft w:val="0"/>
          <w:marRight w:val="0"/>
          <w:marTop w:val="0"/>
          <w:marBottom w:val="0"/>
          <w:divBdr>
            <w:top w:val="none" w:sz="0" w:space="0" w:color="auto"/>
            <w:left w:val="none" w:sz="0" w:space="0" w:color="auto"/>
            <w:bottom w:val="none" w:sz="0" w:space="0" w:color="auto"/>
            <w:right w:val="none" w:sz="0" w:space="0" w:color="auto"/>
          </w:divBdr>
        </w:div>
        <w:div w:id="1213037911">
          <w:marLeft w:val="0"/>
          <w:marRight w:val="0"/>
          <w:marTop w:val="0"/>
          <w:marBottom w:val="0"/>
          <w:divBdr>
            <w:top w:val="none" w:sz="0" w:space="0" w:color="auto"/>
            <w:left w:val="none" w:sz="0" w:space="0" w:color="auto"/>
            <w:bottom w:val="none" w:sz="0" w:space="0" w:color="auto"/>
            <w:right w:val="none" w:sz="0" w:space="0" w:color="auto"/>
          </w:divBdr>
        </w:div>
      </w:divsChild>
    </w:div>
    <w:div w:id="289869826">
      <w:bodyDiv w:val="1"/>
      <w:marLeft w:val="0"/>
      <w:marRight w:val="0"/>
      <w:marTop w:val="0"/>
      <w:marBottom w:val="0"/>
      <w:divBdr>
        <w:top w:val="none" w:sz="0" w:space="0" w:color="auto"/>
        <w:left w:val="none" w:sz="0" w:space="0" w:color="auto"/>
        <w:bottom w:val="none" w:sz="0" w:space="0" w:color="auto"/>
        <w:right w:val="none" w:sz="0" w:space="0" w:color="auto"/>
      </w:divBdr>
      <w:divsChild>
        <w:div w:id="607738304">
          <w:marLeft w:val="0"/>
          <w:marRight w:val="0"/>
          <w:marTop w:val="0"/>
          <w:marBottom w:val="0"/>
          <w:divBdr>
            <w:top w:val="none" w:sz="0" w:space="0" w:color="auto"/>
            <w:left w:val="none" w:sz="0" w:space="0" w:color="auto"/>
            <w:bottom w:val="none" w:sz="0" w:space="0" w:color="auto"/>
            <w:right w:val="none" w:sz="0" w:space="0" w:color="auto"/>
          </w:divBdr>
        </w:div>
        <w:div w:id="1187593732">
          <w:marLeft w:val="0"/>
          <w:marRight w:val="0"/>
          <w:marTop w:val="0"/>
          <w:marBottom w:val="0"/>
          <w:divBdr>
            <w:top w:val="none" w:sz="0" w:space="0" w:color="auto"/>
            <w:left w:val="none" w:sz="0" w:space="0" w:color="auto"/>
            <w:bottom w:val="none" w:sz="0" w:space="0" w:color="auto"/>
            <w:right w:val="none" w:sz="0" w:space="0" w:color="auto"/>
          </w:divBdr>
        </w:div>
        <w:div w:id="819270759">
          <w:marLeft w:val="0"/>
          <w:marRight w:val="0"/>
          <w:marTop w:val="0"/>
          <w:marBottom w:val="0"/>
          <w:divBdr>
            <w:top w:val="none" w:sz="0" w:space="0" w:color="auto"/>
            <w:left w:val="none" w:sz="0" w:space="0" w:color="auto"/>
            <w:bottom w:val="none" w:sz="0" w:space="0" w:color="auto"/>
            <w:right w:val="none" w:sz="0" w:space="0" w:color="auto"/>
          </w:divBdr>
        </w:div>
        <w:div w:id="884491539">
          <w:marLeft w:val="0"/>
          <w:marRight w:val="0"/>
          <w:marTop w:val="0"/>
          <w:marBottom w:val="0"/>
          <w:divBdr>
            <w:top w:val="none" w:sz="0" w:space="0" w:color="auto"/>
            <w:left w:val="none" w:sz="0" w:space="0" w:color="auto"/>
            <w:bottom w:val="none" w:sz="0" w:space="0" w:color="auto"/>
            <w:right w:val="none" w:sz="0" w:space="0" w:color="auto"/>
          </w:divBdr>
        </w:div>
      </w:divsChild>
    </w:div>
    <w:div w:id="316887551">
      <w:bodyDiv w:val="1"/>
      <w:marLeft w:val="0"/>
      <w:marRight w:val="0"/>
      <w:marTop w:val="0"/>
      <w:marBottom w:val="0"/>
      <w:divBdr>
        <w:top w:val="none" w:sz="0" w:space="0" w:color="auto"/>
        <w:left w:val="none" w:sz="0" w:space="0" w:color="auto"/>
        <w:bottom w:val="none" w:sz="0" w:space="0" w:color="auto"/>
        <w:right w:val="none" w:sz="0" w:space="0" w:color="auto"/>
      </w:divBdr>
    </w:div>
    <w:div w:id="319384001">
      <w:bodyDiv w:val="1"/>
      <w:marLeft w:val="0"/>
      <w:marRight w:val="0"/>
      <w:marTop w:val="0"/>
      <w:marBottom w:val="0"/>
      <w:divBdr>
        <w:top w:val="none" w:sz="0" w:space="0" w:color="auto"/>
        <w:left w:val="none" w:sz="0" w:space="0" w:color="auto"/>
        <w:bottom w:val="none" w:sz="0" w:space="0" w:color="auto"/>
        <w:right w:val="none" w:sz="0" w:space="0" w:color="auto"/>
      </w:divBdr>
    </w:div>
    <w:div w:id="367727867">
      <w:bodyDiv w:val="1"/>
      <w:marLeft w:val="0"/>
      <w:marRight w:val="0"/>
      <w:marTop w:val="0"/>
      <w:marBottom w:val="0"/>
      <w:divBdr>
        <w:top w:val="none" w:sz="0" w:space="0" w:color="auto"/>
        <w:left w:val="none" w:sz="0" w:space="0" w:color="auto"/>
        <w:bottom w:val="none" w:sz="0" w:space="0" w:color="auto"/>
        <w:right w:val="none" w:sz="0" w:space="0" w:color="auto"/>
      </w:divBdr>
    </w:div>
    <w:div w:id="474684192">
      <w:bodyDiv w:val="1"/>
      <w:marLeft w:val="0"/>
      <w:marRight w:val="0"/>
      <w:marTop w:val="0"/>
      <w:marBottom w:val="0"/>
      <w:divBdr>
        <w:top w:val="none" w:sz="0" w:space="0" w:color="auto"/>
        <w:left w:val="none" w:sz="0" w:space="0" w:color="auto"/>
        <w:bottom w:val="none" w:sz="0" w:space="0" w:color="auto"/>
        <w:right w:val="none" w:sz="0" w:space="0" w:color="auto"/>
      </w:divBdr>
    </w:div>
    <w:div w:id="475218014">
      <w:bodyDiv w:val="1"/>
      <w:marLeft w:val="0"/>
      <w:marRight w:val="0"/>
      <w:marTop w:val="0"/>
      <w:marBottom w:val="0"/>
      <w:divBdr>
        <w:top w:val="none" w:sz="0" w:space="0" w:color="auto"/>
        <w:left w:val="none" w:sz="0" w:space="0" w:color="auto"/>
        <w:bottom w:val="none" w:sz="0" w:space="0" w:color="auto"/>
        <w:right w:val="none" w:sz="0" w:space="0" w:color="auto"/>
      </w:divBdr>
    </w:div>
    <w:div w:id="495346844">
      <w:bodyDiv w:val="1"/>
      <w:marLeft w:val="0"/>
      <w:marRight w:val="0"/>
      <w:marTop w:val="0"/>
      <w:marBottom w:val="0"/>
      <w:divBdr>
        <w:top w:val="none" w:sz="0" w:space="0" w:color="auto"/>
        <w:left w:val="none" w:sz="0" w:space="0" w:color="auto"/>
        <w:bottom w:val="none" w:sz="0" w:space="0" w:color="auto"/>
        <w:right w:val="none" w:sz="0" w:space="0" w:color="auto"/>
      </w:divBdr>
    </w:div>
    <w:div w:id="586380090">
      <w:bodyDiv w:val="1"/>
      <w:marLeft w:val="0"/>
      <w:marRight w:val="0"/>
      <w:marTop w:val="0"/>
      <w:marBottom w:val="0"/>
      <w:divBdr>
        <w:top w:val="none" w:sz="0" w:space="0" w:color="auto"/>
        <w:left w:val="none" w:sz="0" w:space="0" w:color="auto"/>
        <w:bottom w:val="none" w:sz="0" w:space="0" w:color="auto"/>
        <w:right w:val="none" w:sz="0" w:space="0" w:color="auto"/>
      </w:divBdr>
      <w:divsChild>
        <w:div w:id="1359741567">
          <w:marLeft w:val="0"/>
          <w:marRight w:val="0"/>
          <w:marTop w:val="0"/>
          <w:marBottom w:val="0"/>
          <w:divBdr>
            <w:top w:val="none" w:sz="0" w:space="0" w:color="auto"/>
            <w:left w:val="none" w:sz="0" w:space="0" w:color="auto"/>
            <w:bottom w:val="none" w:sz="0" w:space="0" w:color="auto"/>
            <w:right w:val="none" w:sz="0" w:space="0" w:color="auto"/>
          </w:divBdr>
        </w:div>
        <w:div w:id="1507555839">
          <w:marLeft w:val="0"/>
          <w:marRight w:val="0"/>
          <w:marTop w:val="0"/>
          <w:marBottom w:val="0"/>
          <w:divBdr>
            <w:top w:val="none" w:sz="0" w:space="0" w:color="auto"/>
            <w:left w:val="none" w:sz="0" w:space="0" w:color="auto"/>
            <w:bottom w:val="none" w:sz="0" w:space="0" w:color="auto"/>
            <w:right w:val="none" w:sz="0" w:space="0" w:color="auto"/>
          </w:divBdr>
        </w:div>
        <w:div w:id="1900745006">
          <w:marLeft w:val="0"/>
          <w:marRight w:val="0"/>
          <w:marTop w:val="0"/>
          <w:marBottom w:val="0"/>
          <w:divBdr>
            <w:top w:val="none" w:sz="0" w:space="0" w:color="auto"/>
            <w:left w:val="none" w:sz="0" w:space="0" w:color="auto"/>
            <w:bottom w:val="none" w:sz="0" w:space="0" w:color="auto"/>
            <w:right w:val="none" w:sz="0" w:space="0" w:color="auto"/>
          </w:divBdr>
          <w:divsChild>
            <w:div w:id="1619607809">
              <w:marLeft w:val="-75"/>
              <w:marRight w:val="0"/>
              <w:marTop w:val="30"/>
              <w:marBottom w:val="30"/>
              <w:divBdr>
                <w:top w:val="none" w:sz="0" w:space="0" w:color="auto"/>
                <w:left w:val="none" w:sz="0" w:space="0" w:color="auto"/>
                <w:bottom w:val="none" w:sz="0" w:space="0" w:color="auto"/>
                <w:right w:val="none" w:sz="0" w:space="0" w:color="auto"/>
              </w:divBdr>
              <w:divsChild>
                <w:div w:id="1519076441">
                  <w:marLeft w:val="0"/>
                  <w:marRight w:val="0"/>
                  <w:marTop w:val="0"/>
                  <w:marBottom w:val="0"/>
                  <w:divBdr>
                    <w:top w:val="none" w:sz="0" w:space="0" w:color="auto"/>
                    <w:left w:val="none" w:sz="0" w:space="0" w:color="auto"/>
                    <w:bottom w:val="none" w:sz="0" w:space="0" w:color="auto"/>
                    <w:right w:val="none" w:sz="0" w:space="0" w:color="auto"/>
                  </w:divBdr>
                  <w:divsChild>
                    <w:div w:id="1169827975">
                      <w:marLeft w:val="0"/>
                      <w:marRight w:val="0"/>
                      <w:marTop w:val="0"/>
                      <w:marBottom w:val="0"/>
                      <w:divBdr>
                        <w:top w:val="none" w:sz="0" w:space="0" w:color="auto"/>
                        <w:left w:val="none" w:sz="0" w:space="0" w:color="auto"/>
                        <w:bottom w:val="none" w:sz="0" w:space="0" w:color="auto"/>
                        <w:right w:val="none" w:sz="0" w:space="0" w:color="auto"/>
                      </w:divBdr>
                    </w:div>
                  </w:divsChild>
                </w:div>
                <w:div w:id="267086899">
                  <w:marLeft w:val="0"/>
                  <w:marRight w:val="0"/>
                  <w:marTop w:val="0"/>
                  <w:marBottom w:val="0"/>
                  <w:divBdr>
                    <w:top w:val="none" w:sz="0" w:space="0" w:color="auto"/>
                    <w:left w:val="none" w:sz="0" w:space="0" w:color="auto"/>
                    <w:bottom w:val="none" w:sz="0" w:space="0" w:color="auto"/>
                    <w:right w:val="none" w:sz="0" w:space="0" w:color="auto"/>
                  </w:divBdr>
                  <w:divsChild>
                    <w:div w:id="692729196">
                      <w:marLeft w:val="0"/>
                      <w:marRight w:val="0"/>
                      <w:marTop w:val="0"/>
                      <w:marBottom w:val="0"/>
                      <w:divBdr>
                        <w:top w:val="none" w:sz="0" w:space="0" w:color="auto"/>
                        <w:left w:val="none" w:sz="0" w:space="0" w:color="auto"/>
                        <w:bottom w:val="none" w:sz="0" w:space="0" w:color="auto"/>
                        <w:right w:val="none" w:sz="0" w:space="0" w:color="auto"/>
                      </w:divBdr>
                    </w:div>
                  </w:divsChild>
                </w:div>
                <w:div w:id="804933274">
                  <w:marLeft w:val="0"/>
                  <w:marRight w:val="0"/>
                  <w:marTop w:val="0"/>
                  <w:marBottom w:val="0"/>
                  <w:divBdr>
                    <w:top w:val="none" w:sz="0" w:space="0" w:color="auto"/>
                    <w:left w:val="none" w:sz="0" w:space="0" w:color="auto"/>
                    <w:bottom w:val="none" w:sz="0" w:space="0" w:color="auto"/>
                    <w:right w:val="none" w:sz="0" w:space="0" w:color="auto"/>
                  </w:divBdr>
                  <w:divsChild>
                    <w:div w:id="223609323">
                      <w:marLeft w:val="0"/>
                      <w:marRight w:val="0"/>
                      <w:marTop w:val="0"/>
                      <w:marBottom w:val="0"/>
                      <w:divBdr>
                        <w:top w:val="none" w:sz="0" w:space="0" w:color="auto"/>
                        <w:left w:val="none" w:sz="0" w:space="0" w:color="auto"/>
                        <w:bottom w:val="none" w:sz="0" w:space="0" w:color="auto"/>
                        <w:right w:val="none" w:sz="0" w:space="0" w:color="auto"/>
                      </w:divBdr>
                    </w:div>
                  </w:divsChild>
                </w:div>
                <w:div w:id="1131752450">
                  <w:marLeft w:val="0"/>
                  <w:marRight w:val="0"/>
                  <w:marTop w:val="0"/>
                  <w:marBottom w:val="0"/>
                  <w:divBdr>
                    <w:top w:val="none" w:sz="0" w:space="0" w:color="auto"/>
                    <w:left w:val="none" w:sz="0" w:space="0" w:color="auto"/>
                    <w:bottom w:val="none" w:sz="0" w:space="0" w:color="auto"/>
                    <w:right w:val="none" w:sz="0" w:space="0" w:color="auto"/>
                  </w:divBdr>
                  <w:divsChild>
                    <w:div w:id="2082634395">
                      <w:marLeft w:val="0"/>
                      <w:marRight w:val="0"/>
                      <w:marTop w:val="0"/>
                      <w:marBottom w:val="0"/>
                      <w:divBdr>
                        <w:top w:val="none" w:sz="0" w:space="0" w:color="auto"/>
                        <w:left w:val="none" w:sz="0" w:space="0" w:color="auto"/>
                        <w:bottom w:val="none" w:sz="0" w:space="0" w:color="auto"/>
                        <w:right w:val="none" w:sz="0" w:space="0" w:color="auto"/>
                      </w:divBdr>
                    </w:div>
                  </w:divsChild>
                </w:div>
                <w:div w:id="199048860">
                  <w:marLeft w:val="0"/>
                  <w:marRight w:val="0"/>
                  <w:marTop w:val="0"/>
                  <w:marBottom w:val="0"/>
                  <w:divBdr>
                    <w:top w:val="none" w:sz="0" w:space="0" w:color="auto"/>
                    <w:left w:val="none" w:sz="0" w:space="0" w:color="auto"/>
                    <w:bottom w:val="none" w:sz="0" w:space="0" w:color="auto"/>
                    <w:right w:val="none" w:sz="0" w:space="0" w:color="auto"/>
                  </w:divBdr>
                  <w:divsChild>
                    <w:div w:id="1869488918">
                      <w:marLeft w:val="0"/>
                      <w:marRight w:val="0"/>
                      <w:marTop w:val="0"/>
                      <w:marBottom w:val="0"/>
                      <w:divBdr>
                        <w:top w:val="none" w:sz="0" w:space="0" w:color="auto"/>
                        <w:left w:val="none" w:sz="0" w:space="0" w:color="auto"/>
                        <w:bottom w:val="none" w:sz="0" w:space="0" w:color="auto"/>
                        <w:right w:val="none" w:sz="0" w:space="0" w:color="auto"/>
                      </w:divBdr>
                    </w:div>
                  </w:divsChild>
                </w:div>
                <w:div w:id="192156591">
                  <w:marLeft w:val="0"/>
                  <w:marRight w:val="0"/>
                  <w:marTop w:val="0"/>
                  <w:marBottom w:val="0"/>
                  <w:divBdr>
                    <w:top w:val="none" w:sz="0" w:space="0" w:color="auto"/>
                    <w:left w:val="none" w:sz="0" w:space="0" w:color="auto"/>
                    <w:bottom w:val="none" w:sz="0" w:space="0" w:color="auto"/>
                    <w:right w:val="none" w:sz="0" w:space="0" w:color="auto"/>
                  </w:divBdr>
                  <w:divsChild>
                    <w:div w:id="2088067202">
                      <w:marLeft w:val="0"/>
                      <w:marRight w:val="0"/>
                      <w:marTop w:val="0"/>
                      <w:marBottom w:val="0"/>
                      <w:divBdr>
                        <w:top w:val="none" w:sz="0" w:space="0" w:color="auto"/>
                        <w:left w:val="none" w:sz="0" w:space="0" w:color="auto"/>
                        <w:bottom w:val="none" w:sz="0" w:space="0" w:color="auto"/>
                        <w:right w:val="none" w:sz="0" w:space="0" w:color="auto"/>
                      </w:divBdr>
                    </w:div>
                  </w:divsChild>
                </w:div>
                <w:div w:id="1913084025">
                  <w:marLeft w:val="0"/>
                  <w:marRight w:val="0"/>
                  <w:marTop w:val="0"/>
                  <w:marBottom w:val="0"/>
                  <w:divBdr>
                    <w:top w:val="none" w:sz="0" w:space="0" w:color="auto"/>
                    <w:left w:val="none" w:sz="0" w:space="0" w:color="auto"/>
                    <w:bottom w:val="none" w:sz="0" w:space="0" w:color="auto"/>
                    <w:right w:val="none" w:sz="0" w:space="0" w:color="auto"/>
                  </w:divBdr>
                  <w:divsChild>
                    <w:div w:id="958686128">
                      <w:marLeft w:val="0"/>
                      <w:marRight w:val="0"/>
                      <w:marTop w:val="0"/>
                      <w:marBottom w:val="0"/>
                      <w:divBdr>
                        <w:top w:val="none" w:sz="0" w:space="0" w:color="auto"/>
                        <w:left w:val="none" w:sz="0" w:space="0" w:color="auto"/>
                        <w:bottom w:val="none" w:sz="0" w:space="0" w:color="auto"/>
                        <w:right w:val="none" w:sz="0" w:space="0" w:color="auto"/>
                      </w:divBdr>
                    </w:div>
                  </w:divsChild>
                </w:div>
                <w:div w:id="1451628327">
                  <w:marLeft w:val="0"/>
                  <w:marRight w:val="0"/>
                  <w:marTop w:val="0"/>
                  <w:marBottom w:val="0"/>
                  <w:divBdr>
                    <w:top w:val="none" w:sz="0" w:space="0" w:color="auto"/>
                    <w:left w:val="none" w:sz="0" w:space="0" w:color="auto"/>
                    <w:bottom w:val="none" w:sz="0" w:space="0" w:color="auto"/>
                    <w:right w:val="none" w:sz="0" w:space="0" w:color="auto"/>
                  </w:divBdr>
                  <w:divsChild>
                    <w:div w:id="1316571393">
                      <w:marLeft w:val="0"/>
                      <w:marRight w:val="0"/>
                      <w:marTop w:val="0"/>
                      <w:marBottom w:val="0"/>
                      <w:divBdr>
                        <w:top w:val="none" w:sz="0" w:space="0" w:color="auto"/>
                        <w:left w:val="none" w:sz="0" w:space="0" w:color="auto"/>
                        <w:bottom w:val="none" w:sz="0" w:space="0" w:color="auto"/>
                        <w:right w:val="none" w:sz="0" w:space="0" w:color="auto"/>
                      </w:divBdr>
                    </w:div>
                  </w:divsChild>
                </w:div>
                <w:div w:id="1787655775">
                  <w:marLeft w:val="0"/>
                  <w:marRight w:val="0"/>
                  <w:marTop w:val="0"/>
                  <w:marBottom w:val="0"/>
                  <w:divBdr>
                    <w:top w:val="none" w:sz="0" w:space="0" w:color="auto"/>
                    <w:left w:val="none" w:sz="0" w:space="0" w:color="auto"/>
                    <w:bottom w:val="none" w:sz="0" w:space="0" w:color="auto"/>
                    <w:right w:val="none" w:sz="0" w:space="0" w:color="auto"/>
                  </w:divBdr>
                  <w:divsChild>
                    <w:div w:id="986982399">
                      <w:marLeft w:val="0"/>
                      <w:marRight w:val="0"/>
                      <w:marTop w:val="0"/>
                      <w:marBottom w:val="0"/>
                      <w:divBdr>
                        <w:top w:val="none" w:sz="0" w:space="0" w:color="auto"/>
                        <w:left w:val="none" w:sz="0" w:space="0" w:color="auto"/>
                        <w:bottom w:val="none" w:sz="0" w:space="0" w:color="auto"/>
                        <w:right w:val="none" w:sz="0" w:space="0" w:color="auto"/>
                      </w:divBdr>
                    </w:div>
                  </w:divsChild>
                </w:div>
                <w:div w:id="734166510">
                  <w:marLeft w:val="0"/>
                  <w:marRight w:val="0"/>
                  <w:marTop w:val="0"/>
                  <w:marBottom w:val="0"/>
                  <w:divBdr>
                    <w:top w:val="none" w:sz="0" w:space="0" w:color="auto"/>
                    <w:left w:val="none" w:sz="0" w:space="0" w:color="auto"/>
                    <w:bottom w:val="none" w:sz="0" w:space="0" w:color="auto"/>
                    <w:right w:val="none" w:sz="0" w:space="0" w:color="auto"/>
                  </w:divBdr>
                  <w:divsChild>
                    <w:div w:id="985627608">
                      <w:marLeft w:val="0"/>
                      <w:marRight w:val="0"/>
                      <w:marTop w:val="0"/>
                      <w:marBottom w:val="0"/>
                      <w:divBdr>
                        <w:top w:val="none" w:sz="0" w:space="0" w:color="auto"/>
                        <w:left w:val="none" w:sz="0" w:space="0" w:color="auto"/>
                        <w:bottom w:val="none" w:sz="0" w:space="0" w:color="auto"/>
                        <w:right w:val="none" w:sz="0" w:space="0" w:color="auto"/>
                      </w:divBdr>
                    </w:div>
                  </w:divsChild>
                </w:div>
                <w:div w:id="1641493768">
                  <w:marLeft w:val="0"/>
                  <w:marRight w:val="0"/>
                  <w:marTop w:val="0"/>
                  <w:marBottom w:val="0"/>
                  <w:divBdr>
                    <w:top w:val="none" w:sz="0" w:space="0" w:color="auto"/>
                    <w:left w:val="none" w:sz="0" w:space="0" w:color="auto"/>
                    <w:bottom w:val="none" w:sz="0" w:space="0" w:color="auto"/>
                    <w:right w:val="none" w:sz="0" w:space="0" w:color="auto"/>
                  </w:divBdr>
                  <w:divsChild>
                    <w:div w:id="1208682442">
                      <w:marLeft w:val="0"/>
                      <w:marRight w:val="0"/>
                      <w:marTop w:val="0"/>
                      <w:marBottom w:val="0"/>
                      <w:divBdr>
                        <w:top w:val="none" w:sz="0" w:space="0" w:color="auto"/>
                        <w:left w:val="none" w:sz="0" w:space="0" w:color="auto"/>
                        <w:bottom w:val="none" w:sz="0" w:space="0" w:color="auto"/>
                        <w:right w:val="none" w:sz="0" w:space="0" w:color="auto"/>
                      </w:divBdr>
                    </w:div>
                  </w:divsChild>
                </w:div>
                <w:div w:id="1846088141">
                  <w:marLeft w:val="0"/>
                  <w:marRight w:val="0"/>
                  <w:marTop w:val="0"/>
                  <w:marBottom w:val="0"/>
                  <w:divBdr>
                    <w:top w:val="none" w:sz="0" w:space="0" w:color="auto"/>
                    <w:left w:val="none" w:sz="0" w:space="0" w:color="auto"/>
                    <w:bottom w:val="none" w:sz="0" w:space="0" w:color="auto"/>
                    <w:right w:val="none" w:sz="0" w:space="0" w:color="auto"/>
                  </w:divBdr>
                  <w:divsChild>
                    <w:div w:id="330329022">
                      <w:marLeft w:val="0"/>
                      <w:marRight w:val="0"/>
                      <w:marTop w:val="0"/>
                      <w:marBottom w:val="0"/>
                      <w:divBdr>
                        <w:top w:val="none" w:sz="0" w:space="0" w:color="auto"/>
                        <w:left w:val="none" w:sz="0" w:space="0" w:color="auto"/>
                        <w:bottom w:val="none" w:sz="0" w:space="0" w:color="auto"/>
                        <w:right w:val="none" w:sz="0" w:space="0" w:color="auto"/>
                      </w:divBdr>
                    </w:div>
                  </w:divsChild>
                </w:div>
                <w:div w:id="12735155">
                  <w:marLeft w:val="0"/>
                  <w:marRight w:val="0"/>
                  <w:marTop w:val="0"/>
                  <w:marBottom w:val="0"/>
                  <w:divBdr>
                    <w:top w:val="none" w:sz="0" w:space="0" w:color="auto"/>
                    <w:left w:val="none" w:sz="0" w:space="0" w:color="auto"/>
                    <w:bottom w:val="none" w:sz="0" w:space="0" w:color="auto"/>
                    <w:right w:val="none" w:sz="0" w:space="0" w:color="auto"/>
                  </w:divBdr>
                  <w:divsChild>
                    <w:div w:id="6295690">
                      <w:marLeft w:val="0"/>
                      <w:marRight w:val="0"/>
                      <w:marTop w:val="0"/>
                      <w:marBottom w:val="0"/>
                      <w:divBdr>
                        <w:top w:val="none" w:sz="0" w:space="0" w:color="auto"/>
                        <w:left w:val="none" w:sz="0" w:space="0" w:color="auto"/>
                        <w:bottom w:val="none" w:sz="0" w:space="0" w:color="auto"/>
                        <w:right w:val="none" w:sz="0" w:space="0" w:color="auto"/>
                      </w:divBdr>
                    </w:div>
                  </w:divsChild>
                </w:div>
                <w:div w:id="1487286042">
                  <w:marLeft w:val="0"/>
                  <w:marRight w:val="0"/>
                  <w:marTop w:val="0"/>
                  <w:marBottom w:val="0"/>
                  <w:divBdr>
                    <w:top w:val="none" w:sz="0" w:space="0" w:color="auto"/>
                    <w:left w:val="none" w:sz="0" w:space="0" w:color="auto"/>
                    <w:bottom w:val="none" w:sz="0" w:space="0" w:color="auto"/>
                    <w:right w:val="none" w:sz="0" w:space="0" w:color="auto"/>
                  </w:divBdr>
                  <w:divsChild>
                    <w:div w:id="11951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85919">
          <w:marLeft w:val="0"/>
          <w:marRight w:val="0"/>
          <w:marTop w:val="0"/>
          <w:marBottom w:val="0"/>
          <w:divBdr>
            <w:top w:val="none" w:sz="0" w:space="0" w:color="auto"/>
            <w:left w:val="none" w:sz="0" w:space="0" w:color="auto"/>
            <w:bottom w:val="none" w:sz="0" w:space="0" w:color="auto"/>
            <w:right w:val="none" w:sz="0" w:space="0" w:color="auto"/>
          </w:divBdr>
        </w:div>
        <w:div w:id="2117862713">
          <w:marLeft w:val="0"/>
          <w:marRight w:val="0"/>
          <w:marTop w:val="0"/>
          <w:marBottom w:val="0"/>
          <w:divBdr>
            <w:top w:val="none" w:sz="0" w:space="0" w:color="auto"/>
            <w:left w:val="none" w:sz="0" w:space="0" w:color="auto"/>
            <w:bottom w:val="none" w:sz="0" w:space="0" w:color="auto"/>
            <w:right w:val="none" w:sz="0" w:space="0" w:color="auto"/>
          </w:divBdr>
        </w:div>
        <w:div w:id="2043241466">
          <w:marLeft w:val="0"/>
          <w:marRight w:val="0"/>
          <w:marTop w:val="0"/>
          <w:marBottom w:val="0"/>
          <w:divBdr>
            <w:top w:val="none" w:sz="0" w:space="0" w:color="auto"/>
            <w:left w:val="none" w:sz="0" w:space="0" w:color="auto"/>
            <w:bottom w:val="none" w:sz="0" w:space="0" w:color="auto"/>
            <w:right w:val="none" w:sz="0" w:space="0" w:color="auto"/>
          </w:divBdr>
          <w:divsChild>
            <w:div w:id="92602931">
              <w:marLeft w:val="-75"/>
              <w:marRight w:val="0"/>
              <w:marTop w:val="30"/>
              <w:marBottom w:val="30"/>
              <w:divBdr>
                <w:top w:val="none" w:sz="0" w:space="0" w:color="auto"/>
                <w:left w:val="none" w:sz="0" w:space="0" w:color="auto"/>
                <w:bottom w:val="none" w:sz="0" w:space="0" w:color="auto"/>
                <w:right w:val="none" w:sz="0" w:space="0" w:color="auto"/>
              </w:divBdr>
              <w:divsChild>
                <w:div w:id="1542748188">
                  <w:marLeft w:val="0"/>
                  <w:marRight w:val="0"/>
                  <w:marTop w:val="0"/>
                  <w:marBottom w:val="0"/>
                  <w:divBdr>
                    <w:top w:val="none" w:sz="0" w:space="0" w:color="auto"/>
                    <w:left w:val="none" w:sz="0" w:space="0" w:color="auto"/>
                    <w:bottom w:val="none" w:sz="0" w:space="0" w:color="auto"/>
                    <w:right w:val="none" w:sz="0" w:space="0" w:color="auto"/>
                  </w:divBdr>
                  <w:divsChild>
                    <w:div w:id="2017923092">
                      <w:marLeft w:val="0"/>
                      <w:marRight w:val="0"/>
                      <w:marTop w:val="0"/>
                      <w:marBottom w:val="0"/>
                      <w:divBdr>
                        <w:top w:val="none" w:sz="0" w:space="0" w:color="auto"/>
                        <w:left w:val="none" w:sz="0" w:space="0" w:color="auto"/>
                        <w:bottom w:val="none" w:sz="0" w:space="0" w:color="auto"/>
                        <w:right w:val="none" w:sz="0" w:space="0" w:color="auto"/>
                      </w:divBdr>
                    </w:div>
                  </w:divsChild>
                </w:div>
                <w:div w:id="1134712895">
                  <w:marLeft w:val="0"/>
                  <w:marRight w:val="0"/>
                  <w:marTop w:val="0"/>
                  <w:marBottom w:val="0"/>
                  <w:divBdr>
                    <w:top w:val="none" w:sz="0" w:space="0" w:color="auto"/>
                    <w:left w:val="none" w:sz="0" w:space="0" w:color="auto"/>
                    <w:bottom w:val="none" w:sz="0" w:space="0" w:color="auto"/>
                    <w:right w:val="none" w:sz="0" w:space="0" w:color="auto"/>
                  </w:divBdr>
                  <w:divsChild>
                    <w:div w:id="87699274">
                      <w:marLeft w:val="0"/>
                      <w:marRight w:val="0"/>
                      <w:marTop w:val="0"/>
                      <w:marBottom w:val="0"/>
                      <w:divBdr>
                        <w:top w:val="none" w:sz="0" w:space="0" w:color="auto"/>
                        <w:left w:val="none" w:sz="0" w:space="0" w:color="auto"/>
                        <w:bottom w:val="none" w:sz="0" w:space="0" w:color="auto"/>
                        <w:right w:val="none" w:sz="0" w:space="0" w:color="auto"/>
                      </w:divBdr>
                    </w:div>
                  </w:divsChild>
                </w:div>
                <w:div w:id="74514736">
                  <w:marLeft w:val="0"/>
                  <w:marRight w:val="0"/>
                  <w:marTop w:val="0"/>
                  <w:marBottom w:val="0"/>
                  <w:divBdr>
                    <w:top w:val="none" w:sz="0" w:space="0" w:color="auto"/>
                    <w:left w:val="none" w:sz="0" w:space="0" w:color="auto"/>
                    <w:bottom w:val="none" w:sz="0" w:space="0" w:color="auto"/>
                    <w:right w:val="none" w:sz="0" w:space="0" w:color="auto"/>
                  </w:divBdr>
                  <w:divsChild>
                    <w:div w:id="281107689">
                      <w:marLeft w:val="0"/>
                      <w:marRight w:val="0"/>
                      <w:marTop w:val="0"/>
                      <w:marBottom w:val="0"/>
                      <w:divBdr>
                        <w:top w:val="none" w:sz="0" w:space="0" w:color="auto"/>
                        <w:left w:val="none" w:sz="0" w:space="0" w:color="auto"/>
                        <w:bottom w:val="none" w:sz="0" w:space="0" w:color="auto"/>
                        <w:right w:val="none" w:sz="0" w:space="0" w:color="auto"/>
                      </w:divBdr>
                    </w:div>
                  </w:divsChild>
                </w:div>
                <w:div w:id="2118983421">
                  <w:marLeft w:val="0"/>
                  <w:marRight w:val="0"/>
                  <w:marTop w:val="0"/>
                  <w:marBottom w:val="0"/>
                  <w:divBdr>
                    <w:top w:val="none" w:sz="0" w:space="0" w:color="auto"/>
                    <w:left w:val="none" w:sz="0" w:space="0" w:color="auto"/>
                    <w:bottom w:val="none" w:sz="0" w:space="0" w:color="auto"/>
                    <w:right w:val="none" w:sz="0" w:space="0" w:color="auto"/>
                  </w:divBdr>
                  <w:divsChild>
                    <w:div w:id="243994785">
                      <w:marLeft w:val="0"/>
                      <w:marRight w:val="0"/>
                      <w:marTop w:val="0"/>
                      <w:marBottom w:val="0"/>
                      <w:divBdr>
                        <w:top w:val="none" w:sz="0" w:space="0" w:color="auto"/>
                        <w:left w:val="none" w:sz="0" w:space="0" w:color="auto"/>
                        <w:bottom w:val="none" w:sz="0" w:space="0" w:color="auto"/>
                        <w:right w:val="none" w:sz="0" w:space="0" w:color="auto"/>
                      </w:divBdr>
                    </w:div>
                  </w:divsChild>
                </w:div>
                <w:div w:id="587076514">
                  <w:marLeft w:val="0"/>
                  <w:marRight w:val="0"/>
                  <w:marTop w:val="0"/>
                  <w:marBottom w:val="0"/>
                  <w:divBdr>
                    <w:top w:val="none" w:sz="0" w:space="0" w:color="auto"/>
                    <w:left w:val="none" w:sz="0" w:space="0" w:color="auto"/>
                    <w:bottom w:val="none" w:sz="0" w:space="0" w:color="auto"/>
                    <w:right w:val="none" w:sz="0" w:space="0" w:color="auto"/>
                  </w:divBdr>
                  <w:divsChild>
                    <w:div w:id="1382946131">
                      <w:marLeft w:val="0"/>
                      <w:marRight w:val="0"/>
                      <w:marTop w:val="0"/>
                      <w:marBottom w:val="0"/>
                      <w:divBdr>
                        <w:top w:val="none" w:sz="0" w:space="0" w:color="auto"/>
                        <w:left w:val="none" w:sz="0" w:space="0" w:color="auto"/>
                        <w:bottom w:val="none" w:sz="0" w:space="0" w:color="auto"/>
                        <w:right w:val="none" w:sz="0" w:space="0" w:color="auto"/>
                      </w:divBdr>
                    </w:div>
                  </w:divsChild>
                </w:div>
                <w:div w:id="1211649723">
                  <w:marLeft w:val="0"/>
                  <w:marRight w:val="0"/>
                  <w:marTop w:val="0"/>
                  <w:marBottom w:val="0"/>
                  <w:divBdr>
                    <w:top w:val="none" w:sz="0" w:space="0" w:color="auto"/>
                    <w:left w:val="none" w:sz="0" w:space="0" w:color="auto"/>
                    <w:bottom w:val="none" w:sz="0" w:space="0" w:color="auto"/>
                    <w:right w:val="none" w:sz="0" w:space="0" w:color="auto"/>
                  </w:divBdr>
                  <w:divsChild>
                    <w:div w:id="1136875248">
                      <w:marLeft w:val="0"/>
                      <w:marRight w:val="0"/>
                      <w:marTop w:val="0"/>
                      <w:marBottom w:val="0"/>
                      <w:divBdr>
                        <w:top w:val="none" w:sz="0" w:space="0" w:color="auto"/>
                        <w:left w:val="none" w:sz="0" w:space="0" w:color="auto"/>
                        <w:bottom w:val="none" w:sz="0" w:space="0" w:color="auto"/>
                        <w:right w:val="none" w:sz="0" w:space="0" w:color="auto"/>
                      </w:divBdr>
                    </w:div>
                  </w:divsChild>
                </w:div>
                <w:div w:id="1558472265">
                  <w:marLeft w:val="0"/>
                  <w:marRight w:val="0"/>
                  <w:marTop w:val="0"/>
                  <w:marBottom w:val="0"/>
                  <w:divBdr>
                    <w:top w:val="none" w:sz="0" w:space="0" w:color="auto"/>
                    <w:left w:val="none" w:sz="0" w:space="0" w:color="auto"/>
                    <w:bottom w:val="none" w:sz="0" w:space="0" w:color="auto"/>
                    <w:right w:val="none" w:sz="0" w:space="0" w:color="auto"/>
                  </w:divBdr>
                  <w:divsChild>
                    <w:div w:id="1874879821">
                      <w:marLeft w:val="0"/>
                      <w:marRight w:val="0"/>
                      <w:marTop w:val="0"/>
                      <w:marBottom w:val="0"/>
                      <w:divBdr>
                        <w:top w:val="none" w:sz="0" w:space="0" w:color="auto"/>
                        <w:left w:val="none" w:sz="0" w:space="0" w:color="auto"/>
                        <w:bottom w:val="none" w:sz="0" w:space="0" w:color="auto"/>
                        <w:right w:val="none" w:sz="0" w:space="0" w:color="auto"/>
                      </w:divBdr>
                    </w:div>
                  </w:divsChild>
                </w:div>
                <w:div w:id="1220283416">
                  <w:marLeft w:val="0"/>
                  <w:marRight w:val="0"/>
                  <w:marTop w:val="0"/>
                  <w:marBottom w:val="0"/>
                  <w:divBdr>
                    <w:top w:val="none" w:sz="0" w:space="0" w:color="auto"/>
                    <w:left w:val="none" w:sz="0" w:space="0" w:color="auto"/>
                    <w:bottom w:val="none" w:sz="0" w:space="0" w:color="auto"/>
                    <w:right w:val="none" w:sz="0" w:space="0" w:color="auto"/>
                  </w:divBdr>
                  <w:divsChild>
                    <w:div w:id="400250237">
                      <w:marLeft w:val="0"/>
                      <w:marRight w:val="0"/>
                      <w:marTop w:val="0"/>
                      <w:marBottom w:val="0"/>
                      <w:divBdr>
                        <w:top w:val="none" w:sz="0" w:space="0" w:color="auto"/>
                        <w:left w:val="none" w:sz="0" w:space="0" w:color="auto"/>
                        <w:bottom w:val="none" w:sz="0" w:space="0" w:color="auto"/>
                        <w:right w:val="none" w:sz="0" w:space="0" w:color="auto"/>
                      </w:divBdr>
                    </w:div>
                  </w:divsChild>
                </w:div>
                <w:div w:id="1741369056">
                  <w:marLeft w:val="0"/>
                  <w:marRight w:val="0"/>
                  <w:marTop w:val="0"/>
                  <w:marBottom w:val="0"/>
                  <w:divBdr>
                    <w:top w:val="none" w:sz="0" w:space="0" w:color="auto"/>
                    <w:left w:val="none" w:sz="0" w:space="0" w:color="auto"/>
                    <w:bottom w:val="none" w:sz="0" w:space="0" w:color="auto"/>
                    <w:right w:val="none" w:sz="0" w:space="0" w:color="auto"/>
                  </w:divBdr>
                  <w:divsChild>
                    <w:div w:id="2069835538">
                      <w:marLeft w:val="0"/>
                      <w:marRight w:val="0"/>
                      <w:marTop w:val="0"/>
                      <w:marBottom w:val="0"/>
                      <w:divBdr>
                        <w:top w:val="none" w:sz="0" w:space="0" w:color="auto"/>
                        <w:left w:val="none" w:sz="0" w:space="0" w:color="auto"/>
                        <w:bottom w:val="none" w:sz="0" w:space="0" w:color="auto"/>
                        <w:right w:val="none" w:sz="0" w:space="0" w:color="auto"/>
                      </w:divBdr>
                    </w:div>
                  </w:divsChild>
                </w:div>
                <w:div w:id="923951328">
                  <w:marLeft w:val="0"/>
                  <w:marRight w:val="0"/>
                  <w:marTop w:val="0"/>
                  <w:marBottom w:val="0"/>
                  <w:divBdr>
                    <w:top w:val="none" w:sz="0" w:space="0" w:color="auto"/>
                    <w:left w:val="none" w:sz="0" w:space="0" w:color="auto"/>
                    <w:bottom w:val="none" w:sz="0" w:space="0" w:color="auto"/>
                    <w:right w:val="none" w:sz="0" w:space="0" w:color="auto"/>
                  </w:divBdr>
                  <w:divsChild>
                    <w:div w:id="1734620730">
                      <w:marLeft w:val="0"/>
                      <w:marRight w:val="0"/>
                      <w:marTop w:val="0"/>
                      <w:marBottom w:val="0"/>
                      <w:divBdr>
                        <w:top w:val="none" w:sz="0" w:space="0" w:color="auto"/>
                        <w:left w:val="none" w:sz="0" w:space="0" w:color="auto"/>
                        <w:bottom w:val="none" w:sz="0" w:space="0" w:color="auto"/>
                        <w:right w:val="none" w:sz="0" w:space="0" w:color="auto"/>
                      </w:divBdr>
                    </w:div>
                    <w:div w:id="1967079623">
                      <w:marLeft w:val="0"/>
                      <w:marRight w:val="0"/>
                      <w:marTop w:val="0"/>
                      <w:marBottom w:val="0"/>
                      <w:divBdr>
                        <w:top w:val="none" w:sz="0" w:space="0" w:color="auto"/>
                        <w:left w:val="none" w:sz="0" w:space="0" w:color="auto"/>
                        <w:bottom w:val="none" w:sz="0" w:space="0" w:color="auto"/>
                        <w:right w:val="none" w:sz="0" w:space="0" w:color="auto"/>
                      </w:divBdr>
                    </w:div>
                    <w:div w:id="854612745">
                      <w:marLeft w:val="0"/>
                      <w:marRight w:val="0"/>
                      <w:marTop w:val="0"/>
                      <w:marBottom w:val="0"/>
                      <w:divBdr>
                        <w:top w:val="none" w:sz="0" w:space="0" w:color="auto"/>
                        <w:left w:val="none" w:sz="0" w:space="0" w:color="auto"/>
                        <w:bottom w:val="none" w:sz="0" w:space="0" w:color="auto"/>
                        <w:right w:val="none" w:sz="0" w:space="0" w:color="auto"/>
                      </w:divBdr>
                    </w:div>
                    <w:div w:id="443112072">
                      <w:marLeft w:val="0"/>
                      <w:marRight w:val="0"/>
                      <w:marTop w:val="0"/>
                      <w:marBottom w:val="0"/>
                      <w:divBdr>
                        <w:top w:val="none" w:sz="0" w:space="0" w:color="auto"/>
                        <w:left w:val="none" w:sz="0" w:space="0" w:color="auto"/>
                        <w:bottom w:val="none" w:sz="0" w:space="0" w:color="auto"/>
                        <w:right w:val="none" w:sz="0" w:space="0" w:color="auto"/>
                      </w:divBdr>
                    </w:div>
                  </w:divsChild>
                </w:div>
                <w:div w:id="847016828">
                  <w:marLeft w:val="0"/>
                  <w:marRight w:val="0"/>
                  <w:marTop w:val="0"/>
                  <w:marBottom w:val="0"/>
                  <w:divBdr>
                    <w:top w:val="none" w:sz="0" w:space="0" w:color="auto"/>
                    <w:left w:val="none" w:sz="0" w:space="0" w:color="auto"/>
                    <w:bottom w:val="none" w:sz="0" w:space="0" w:color="auto"/>
                    <w:right w:val="none" w:sz="0" w:space="0" w:color="auto"/>
                  </w:divBdr>
                  <w:divsChild>
                    <w:div w:id="337543081">
                      <w:marLeft w:val="0"/>
                      <w:marRight w:val="0"/>
                      <w:marTop w:val="0"/>
                      <w:marBottom w:val="0"/>
                      <w:divBdr>
                        <w:top w:val="none" w:sz="0" w:space="0" w:color="auto"/>
                        <w:left w:val="none" w:sz="0" w:space="0" w:color="auto"/>
                        <w:bottom w:val="none" w:sz="0" w:space="0" w:color="auto"/>
                        <w:right w:val="none" w:sz="0" w:space="0" w:color="auto"/>
                      </w:divBdr>
                    </w:div>
                  </w:divsChild>
                </w:div>
                <w:div w:id="1509518532">
                  <w:marLeft w:val="0"/>
                  <w:marRight w:val="0"/>
                  <w:marTop w:val="0"/>
                  <w:marBottom w:val="0"/>
                  <w:divBdr>
                    <w:top w:val="none" w:sz="0" w:space="0" w:color="auto"/>
                    <w:left w:val="none" w:sz="0" w:space="0" w:color="auto"/>
                    <w:bottom w:val="none" w:sz="0" w:space="0" w:color="auto"/>
                    <w:right w:val="none" w:sz="0" w:space="0" w:color="auto"/>
                  </w:divBdr>
                  <w:divsChild>
                    <w:div w:id="1999730020">
                      <w:marLeft w:val="0"/>
                      <w:marRight w:val="0"/>
                      <w:marTop w:val="0"/>
                      <w:marBottom w:val="0"/>
                      <w:divBdr>
                        <w:top w:val="none" w:sz="0" w:space="0" w:color="auto"/>
                        <w:left w:val="none" w:sz="0" w:space="0" w:color="auto"/>
                        <w:bottom w:val="none" w:sz="0" w:space="0" w:color="auto"/>
                        <w:right w:val="none" w:sz="0" w:space="0" w:color="auto"/>
                      </w:divBdr>
                    </w:div>
                    <w:div w:id="470752344">
                      <w:marLeft w:val="0"/>
                      <w:marRight w:val="0"/>
                      <w:marTop w:val="0"/>
                      <w:marBottom w:val="0"/>
                      <w:divBdr>
                        <w:top w:val="none" w:sz="0" w:space="0" w:color="auto"/>
                        <w:left w:val="none" w:sz="0" w:space="0" w:color="auto"/>
                        <w:bottom w:val="none" w:sz="0" w:space="0" w:color="auto"/>
                        <w:right w:val="none" w:sz="0" w:space="0" w:color="auto"/>
                      </w:divBdr>
                    </w:div>
                  </w:divsChild>
                </w:div>
                <w:div w:id="1331375479">
                  <w:marLeft w:val="0"/>
                  <w:marRight w:val="0"/>
                  <w:marTop w:val="0"/>
                  <w:marBottom w:val="0"/>
                  <w:divBdr>
                    <w:top w:val="none" w:sz="0" w:space="0" w:color="auto"/>
                    <w:left w:val="none" w:sz="0" w:space="0" w:color="auto"/>
                    <w:bottom w:val="none" w:sz="0" w:space="0" w:color="auto"/>
                    <w:right w:val="none" w:sz="0" w:space="0" w:color="auto"/>
                  </w:divBdr>
                  <w:divsChild>
                    <w:div w:id="1391423785">
                      <w:marLeft w:val="0"/>
                      <w:marRight w:val="0"/>
                      <w:marTop w:val="0"/>
                      <w:marBottom w:val="0"/>
                      <w:divBdr>
                        <w:top w:val="none" w:sz="0" w:space="0" w:color="auto"/>
                        <w:left w:val="none" w:sz="0" w:space="0" w:color="auto"/>
                        <w:bottom w:val="none" w:sz="0" w:space="0" w:color="auto"/>
                        <w:right w:val="none" w:sz="0" w:space="0" w:color="auto"/>
                      </w:divBdr>
                    </w:div>
                  </w:divsChild>
                </w:div>
                <w:div w:id="1454599052">
                  <w:marLeft w:val="0"/>
                  <w:marRight w:val="0"/>
                  <w:marTop w:val="0"/>
                  <w:marBottom w:val="0"/>
                  <w:divBdr>
                    <w:top w:val="none" w:sz="0" w:space="0" w:color="auto"/>
                    <w:left w:val="none" w:sz="0" w:space="0" w:color="auto"/>
                    <w:bottom w:val="none" w:sz="0" w:space="0" w:color="auto"/>
                    <w:right w:val="none" w:sz="0" w:space="0" w:color="auto"/>
                  </w:divBdr>
                  <w:divsChild>
                    <w:div w:id="1283418608">
                      <w:marLeft w:val="0"/>
                      <w:marRight w:val="0"/>
                      <w:marTop w:val="0"/>
                      <w:marBottom w:val="0"/>
                      <w:divBdr>
                        <w:top w:val="none" w:sz="0" w:space="0" w:color="auto"/>
                        <w:left w:val="none" w:sz="0" w:space="0" w:color="auto"/>
                        <w:bottom w:val="none" w:sz="0" w:space="0" w:color="auto"/>
                        <w:right w:val="none" w:sz="0" w:space="0" w:color="auto"/>
                      </w:divBdr>
                    </w:div>
                  </w:divsChild>
                </w:div>
                <w:div w:id="1706248798">
                  <w:marLeft w:val="0"/>
                  <w:marRight w:val="0"/>
                  <w:marTop w:val="0"/>
                  <w:marBottom w:val="0"/>
                  <w:divBdr>
                    <w:top w:val="none" w:sz="0" w:space="0" w:color="auto"/>
                    <w:left w:val="none" w:sz="0" w:space="0" w:color="auto"/>
                    <w:bottom w:val="none" w:sz="0" w:space="0" w:color="auto"/>
                    <w:right w:val="none" w:sz="0" w:space="0" w:color="auto"/>
                  </w:divBdr>
                  <w:divsChild>
                    <w:div w:id="1939556960">
                      <w:marLeft w:val="0"/>
                      <w:marRight w:val="0"/>
                      <w:marTop w:val="0"/>
                      <w:marBottom w:val="0"/>
                      <w:divBdr>
                        <w:top w:val="none" w:sz="0" w:space="0" w:color="auto"/>
                        <w:left w:val="none" w:sz="0" w:space="0" w:color="auto"/>
                        <w:bottom w:val="none" w:sz="0" w:space="0" w:color="auto"/>
                        <w:right w:val="none" w:sz="0" w:space="0" w:color="auto"/>
                      </w:divBdr>
                    </w:div>
                  </w:divsChild>
                </w:div>
                <w:div w:id="5912959">
                  <w:marLeft w:val="0"/>
                  <w:marRight w:val="0"/>
                  <w:marTop w:val="0"/>
                  <w:marBottom w:val="0"/>
                  <w:divBdr>
                    <w:top w:val="none" w:sz="0" w:space="0" w:color="auto"/>
                    <w:left w:val="none" w:sz="0" w:space="0" w:color="auto"/>
                    <w:bottom w:val="none" w:sz="0" w:space="0" w:color="auto"/>
                    <w:right w:val="none" w:sz="0" w:space="0" w:color="auto"/>
                  </w:divBdr>
                  <w:divsChild>
                    <w:div w:id="414865748">
                      <w:marLeft w:val="0"/>
                      <w:marRight w:val="0"/>
                      <w:marTop w:val="0"/>
                      <w:marBottom w:val="0"/>
                      <w:divBdr>
                        <w:top w:val="none" w:sz="0" w:space="0" w:color="auto"/>
                        <w:left w:val="none" w:sz="0" w:space="0" w:color="auto"/>
                        <w:bottom w:val="none" w:sz="0" w:space="0" w:color="auto"/>
                        <w:right w:val="none" w:sz="0" w:space="0" w:color="auto"/>
                      </w:divBdr>
                    </w:div>
                  </w:divsChild>
                </w:div>
                <w:div w:id="2009363724">
                  <w:marLeft w:val="0"/>
                  <w:marRight w:val="0"/>
                  <w:marTop w:val="0"/>
                  <w:marBottom w:val="0"/>
                  <w:divBdr>
                    <w:top w:val="none" w:sz="0" w:space="0" w:color="auto"/>
                    <w:left w:val="none" w:sz="0" w:space="0" w:color="auto"/>
                    <w:bottom w:val="none" w:sz="0" w:space="0" w:color="auto"/>
                    <w:right w:val="none" w:sz="0" w:space="0" w:color="auto"/>
                  </w:divBdr>
                  <w:divsChild>
                    <w:div w:id="1577937023">
                      <w:marLeft w:val="0"/>
                      <w:marRight w:val="0"/>
                      <w:marTop w:val="0"/>
                      <w:marBottom w:val="0"/>
                      <w:divBdr>
                        <w:top w:val="none" w:sz="0" w:space="0" w:color="auto"/>
                        <w:left w:val="none" w:sz="0" w:space="0" w:color="auto"/>
                        <w:bottom w:val="none" w:sz="0" w:space="0" w:color="auto"/>
                        <w:right w:val="none" w:sz="0" w:space="0" w:color="auto"/>
                      </w:divBdr>
                    </w:div>
                  </w:divsChild>
                </w:div>
                <w:div w:id="630284450">
                  <w:marLeft w:val="0"/>
                  <w:marRight w:val="0"/>
                  <w:marTop w:val="0"/>
                  <w:marBottom w:val="0"/>
                  <w:divBdr>
                    <w:top w:val="none" w:sz="0" w:space="0" w:color="auto"/>
                    <w:left w:val="none" w:sz="0" w:space="0" w:color="auto"/>
                    <w:bottom w:val="none" w:sz="0" w:space="0" w:color="auto"/>
                    <w:right w:val="none" w:sz="0" w:space="0" w:color="auto"/>
                  </w:divBdr>
                  <w:divsChild>
                    <w:div w:id="209774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25891">
          <w:marLeft w:val="0"/>
          <w:marRight w:val="0"/>
          <w:marTop w:val="0"/>
          <w:marBottom w:val="0"/>
          <w:divBdr>
            <w:top w:val="none" w:sz="0" w:space="0" w:color="auto"/>
            <w:left w:val="none" w:sz="0" w:space="0" w:color="auto"/>
            <w:bottom w:val="none" w:sz="0" w:space="0" w:color="auto"/>
            <w:right w:val="none" w:sz="0" w:space="0" w:color="auto"/>
          </w:divBdr>
        </w:div>
        <w:div w:id="333149789">
          <w:marLeft w:val="0"/>
          <w:marRight w:val="0"/>
          <w:marTop w:val="0"/>
          <w:marBottom w:val="0"/>
          <w:divBdr>
            <w:top w:val="none" w:sz="0" w:space="0" w:color="auto"/>
            <w:left w:val="none" w:sz="0" w:space="0" w:color="auto"/>
            <w:bottom w:val="none" w:sz="0" w:space="0" w:color="auto"/>
            <w:right w:val="none" w:sz="0" w:space="0" w:color="auto"/>
          </w:divBdr>
        </w:div>
        <w:div w:id="1809322629">
          <w:marLeft w:val="0"/>
          <w:marRight w:val="0"/>
          <w:marTop w:val="0"/>
          <w:marBottom w:val="0"/>
          <w:divBdr>
            <w:top w:val="none" w:sz="0" w:space="0" w:color="auto"/>
            <w:left w:val="none" w:sz="0" w:space="0" w:color="auto"/>
            <w:bottom w:val="none" w:sz="0" w:space="0" w:color="auto"/>
            <w:right w:val="none" w:sz="0" w:space="0" w:color="auto"/>
          </w:divBdr>
        </w:div>
        <w:div w:id="236131436">
          <w:marLeft w:val="0"/>
          <w:marRight w:val="0"/>
          <w:marTop w:val="0"/>
          <w:marBottom w:val="0"/>
          <w:divBdr>
            <w:top w:val="none" w:sz="0" w:space="0" w:color="auto"/>
            <w:left w:val="none" w:sz="0" w:space="0" w:color="auto"/>
            <w:bottom w:val="none" w:sz="0" w:space="0" w:color="auto"/>
            <w:right w:val="none" w:sz="0" w:space="0" w:color="auto"/>
          </w:divBdr>
        </w:div>
        <w:div w:id="1978797228">
          <w:marLeft w:val="0"/>
          <w:marRight w:val="0"/>
          <w:marTop w:val="0"/>
          <w:marBottom w:val="0"/>
          <w:divBdr>
            <w:top w:val="none" w:sz="0" w:space="0" w:color="auto"/>
            <w:left w:val="none" w:sz="0" w:space="0" w:color="auto"/>
            <w:bottom w:val="none" w:sz="0" w:space="0" w:color="auto"/>
            <w:right w:val="none" w:sz="0" w:space="0" w:color="auto"/>
          </w:divBdr>
        </w:div>
        <w:div w:id="728773646">
          <w:marLeft w:val="0"/>
          <w:marRight w:val="0"/>
          <w:marTop w:val="0"/>
          <w:marBottom w:val="0"/>
          <w:divBdr>
            <w:top w:val="none" w:sz="0" w:space="0" w:color="auto"/>
            <w:left w:val="none" w:sz="0" w:space="0" w:color="auto"/>
            <w:bottom w:val="none" w:sz="0" w:space="0" w:color="auto"/>
            <w:right w:val="none" w:sz="0" w:space="0" w:color="auto"/>
          </w:divBdr>
        </w:div>
        <w:div w:id="360131296">
          <w:marLeft w:val="0"/>
          <w:marRight w:val="0"/>
          <w:marTop w:val="0"/>
          <w:marBottom w:val="0"/>
          <w:divBdr>
            <w:top w:val="none" w:sz="0" w:space="0" w:color="auto"/>
            <w:left w:val="none" w:sz="0" w:space="0" w:color="auto"/>
            <w:bottom w:val="none" w:sz="0" w:space="0" w:color="auto"/>
            <w:right w:val="none" w:sz="0" w:space="0" w:color="auto"/>
          </w:divBdr>
        </w:div>
        <w:div w:id="1718821677">
          <w:marLeft w:val="0"/>
          <w:marRight w:val="0"/>
          <w:marTop w:val="0"/>
          <w:marBottom w:val="0"/>
          <w:divBdr>
            <w:top w:val="none" w:sz="0" w:space="0" w:color="auto"/>
            <w:left w:val="none" w:sz="0" w:space="0" w:color="auto"/>
            <w:bottom w:val="none" w:sz="0" w:space="0" w:color="auto"/>
            <w:right w:val="none" w:sz="0" w:space="0" w:color="auto"/>
          </w:divBdr>
        </w:div>
        <w:div w:id="140120702">
          <w:marLeft w:val="0"/>
          <w:marRight w:val="0"/>
          <w:marTop w:val="0"/>
          <w:marBottom w:val="0"/>
          <w:divBdr>
            <w:top w:val="none" w:sz="0" w:space="0" w:color="auto"/>
            <w:left w:val="none" w:sz="0" w:space="0" w:color="auto"/>
            <w:bottom w:val="none" w:sz="0" w:space="0" w:color="auto"/>
            <w:right w:val="none" w:sz="0" w:space="0" w:color="auto"/>
          </w:divBdr>
        </w:div>
        <w:div w:id="1985114127">
          <w:marLeft w:val="0"/>
          <w:marRight w:val="0"/>
          <w:marTop w:val="0"/>
          <w:marBottom w:val="0"/>
          <w:divBdr>
            <w:top w:val="none" w:sz="0" w:space="0" w:color="auto"/>
            <w:left w:val="none" w:sz="0" w:space="0" w:color="auto"/>
            <w:bottom w:val="none" w:sz="0" w:space="0" w:color="auto"/>
            <w:right w:val="none" w:sz="0" w:space="0" w:color="auto"/>
          </w:divBdr>
        </w:div>
        <w:div w:id="117377590">
          <w:marLeft w:val="0"/>
          <w:marRight w:val="0"/>
          <w:marTop w:val="0"/>
          <w:marBottom w:val="0"/>
          <w:divBdr>
            <w:top w:val="none" w:sz="0" w:space="0" w:color="auto"/>
            <w:left w:val="none" w:sz="0" w:space="0" w:color="auto"/>
            <w:bottom w:val="none" w:sz="0" w:space="0" w:color="auto"/>
            <w:right w:val="none" w:sz="0" w:space="0" w:color="auto"/>
          </w:divBdr>
        </w:div>
        <w:div w:id="1328749054">
          <w:marLeft w:val="0"/>
          <w:marRight w:val="0"/>
          <w:marTop w:val="0"/>
          <w:marBottom w:val="0"/>
          <w:divBdr>
            <w:top w:val="none" w:sz="0" w:space="0" w:color="auto"/>
            <w:left w:val="none" w:sz="0" w:space="0" w:color="auto"/>
            <w:bottom w:val="none" w:sz="0" w:space="0" w:color="auto"/>
            <w:right w:val="none" w:sz="0" w:space="0" w:color="auto"/>
          </w:divBdr>
        </w:div>
        <w:div w:id="987787488">
          <w:marLeft w:val="0"/>
          <w:marRight w:val="0"/>
          <w:marTop w:val="0"/>
          <w:marBottom w:val="0"/>
          <w:divBdr>
            <w:top w:val="none" w:sz="0" w:space="0" w:color="auto"/>
            <w:left w:val="none" w:sz="0" w:space="0" w:color="auto"/>
            <w:bottom w:val="none" w:sz="0" w:space="0" w:color="auto"/>
            <w:right w:val="none" w:sz="0" w:space="0" w:color="auto"/>
          </w:divBdr>
        </w:div>
        <w:div w:id="1860504221">
          <w:marLeft w:val="0"/>
          <w:marRight w:val="0"/>
          <w:marTop w:val="0"/>
          <w:marBottom w:val="0"/>
          <w:divBdr>
            <w:top w:val="none" w:sz="0" w:space="0" w:color="auto"/>
            <w:left w:val="none" w:sz="0" w:space="0" w:color="auto"/>
            <w:bottom w:val="none" w:sz="0" w:space="0" w:color="auto"/>
            <w:right w:val="none" w:sz="0" w:space="0" w:color="auto"/>
          </w:divBdr>
        </w:div>
        <w:div w:id="766653010">
          <w:marLeft w:val="0"/>
          <w:marRight w:val="0"/>
          <w:marTop w:val="0"/>
          <w:marBottom w:val="0"/>
          <w:divBdr>
            <w:top w:val="none" w:sz="0" w:space="0" w:color="auto"/>
            <w:left w:val="none" w:sz="0" w:space="0" w:color="auto"/>
            <w:bottom w:val="none" w:sz="0" w:space="0" w:color="auto"/>
            <w:right w:val="none" w:sz="0" w:space="0" w:color="auto"/>
          </w:divBdr>
        </w:div>
        <w:div w:id="72624977">
          <w:marLeft w:val="0"/>
          <w:marRight w:val="0"/>
          <w:marTop w:val="0"/>
          <w:marBottom w:val="0"/>
          <w:divBdr>
            <w:top w:val="none" w:sz="0" w:space="0" w:color="auto"/>
            <w:left w:val="none" w:sz="0" w:space="0" w:color="auto"/>
            <w:bottom w:val="none" w:sz="0" w:space="0" w:color="auto"/>
            <w:right w:val="none" w:sz="0" w:space="0" w:color="auto"/>
          </w:divBdr>
        </w:div>
        <w:div w:id="1733965727">
          <w:marLeft w:val="0"/>
          <w:marRight w:val="0"/>
          <w:marTop w:val="0"/>
          <w:marBottom w:val="0"/>
          <w:divBdr>
            <w:top w:val="none" w:sz="0" w:space="0" w:color="auto"/>
            <w:left w:val="none" w:sz="0" w:space="0" w:color="auto"/>
            <w:bottom w:val="none" w:sz="0" w:space="0" w:color="auto"/>
            <w:right w:val="none" w:sz="0" w:space="0" w:color="auto"/>
          </w:divBdr>
        </w:div>
        <w:div w:id="1722288186">
          <w:marLeft w:val="0"/>
          <w:marRight w:val="0"/>
          <w:marTop w:val="0"/>
          <w:marBottom w:val="0"/>
          <w:divBdr>
            <w:top w:val="none" w:sz="0" w:space="0" w:color="auto"/>
            <w:left w:val="none" w:sz="0" w:space="0" w:color="auto"/>
            <w:bottom w:val="none" w:sz="0" w:space="0" w:color="auto"/>
            <w:right w:val="none" w:sz="0" w:space="0" w:color="auto"/>
          </w:divBdr>
        </w:div>
        <w:div w:id="688487233">
          <w:marLeft w:val="0"/>
          <w:marRight w:val="0"/>
          <w:marTop w:val="0"/>
          <w:marBottom w:val="0"/>
          <w:divBdr>
            <w:top w:val="none" w:sz="0" w:space="0" w:color="auto"/>
            <w:left w:val="none" w:sz="0" w:space="0" w:color="auto"/>
            <w:bottom w:val="none" w:sz="0" w:space="0" w:color="auto"/>
            <w:right w:val="none" w:sz="0" w:space="0" w:color="auto"/>
          </w:divBdr>
        </w:div>
        <w:div w:id="746918686">
          <w:marLeft w:val="0"/>
          <w:marRight w:val="0"/>
          <w:marTop w:val="0"/>
          <w:marBottom w:val="0"/>
          <w:divBdr>
            <w:top w:val="none" w:sz="0" w:space="0" w:color="auto"/>
            <w:left w:val="none" w:sz="0" w:space="0" w:color="auto"/>
            <w:bottom w:val="none" w:sz="0" w:space="0" w:color="auto"/>
            <w:right w:val="none" w:sz="0" w:space="0" w:color="auto"/>
          </w:divBdr>
        </w:div>
        <w:div w:id="1827865807">
          <w:marLeft w:val="0"/>
          <w:marRight w:val="0"/>
          <w:marTop w:val="0"/>
          <w:marBottom w:val="0"/>
          <w:divBdr>
            <w:top w:val="none" w:sz="0" w:space="0" w:color="auto"/>
            <w:left w:val="none" w:sz="0" w:space="0" w:color="auto"/>
            <w:bottom w:val="none" w:sz="0" w:space="0" w:color="auto"/>
            <w:right w:val="none" w:sz="0" w:space="0" w:color="auto"/>
          </w:divBdr>
        </w:div>
        <w:div w:id="1874492201">
          <w:marLeft w:val="0"/>
          <w:marRight w:val="0"/>
          <w:marTop w:val="0"/>
          <w:marBottom w:val="0"/>
          <w:divBdr>
            <w:top w:val="none" w:sz="0" w:space="0" w:color="auto"/>
            <w:left w:val="none" w:sz="0" w:space="0" w:color="auto"/>
            <w:bottom w:val="none" w:sz="0" w:space="0" w:color="auto"/>
            <w:right w:val="none" w:sz="0" w:space="0" w:color="auto"/>
          </w:divBdr>
        </w:div>
        <w:div w:id="112986392">
          <w:marLeft w:val="0"/>
          <w:marRight w:val="0"/>
          <w:marTop w:val="0"/>
          <w:marBottom w:val="0"/>
          <w:divBdr>
            <w:top w:val="none" w:sz="0" w:space="0" w:color="auto"/>
            <w:left w:val="none" w:sz="0" w:space="0" w:color="auto"/>
            <w:bottom w:val="none" w:sz="0" w:space="0" w:color="auto"/>
            <w:right w:val="none" w:sz="0" w:space="0" w:color="auto"/>
          </w:divBdr>
        </w:div>
        <w:div w:id="1970285554">
          <w:marLeft w:val="0"/>
          <w:marRight w:val="0"/>
          <w:marTop w:val="0"/>
          <w:marBottom w:val="0"/>
          <w:divBdr>
            <w:top w:val="none" w:sz="0" w:space="0" w:color="auto"/>
            <w:left w:val="none" w:sz="0" w:space="0" w:color="auto"/>
            <w:bottom w:val="none" w:sz="0" w:space="0" w:color="auto"/>
            <w:right w:val="none" w:sz="0" w:space="0" w:color="auto"/>
          </w:divBdr>
        </w:div>
        <w:div w:id="164173950">
          <w:marLeft w:val="0"/>
          <w:marRight w:val="0"/>
          <w:marTop w:val="0"/>
          <w:marBottom w:val="0"/>
          <w:divBdr>
            <w:top w:val="none" w:sz="0" w:space="0" w:color="auto"/>
            <w:left w:val="none" w:sz="0" w:space="0" w:color="auto"/>
            <w:bottom w:val="none" w:sz="0" w:space="0" w:color="auto"/>
            <w:right w:val="none" w:sz="0" w:space="0" w:color="auto"/>
          </w:divBdr>
        </w:div>
        <w:div w:id="794372373">
          <w:marLeft w:val="0"/>
          <w:marRight w:val="0"/>
          <w:marTop w:val="0"/>
          <w:marBottom w:val="0"/>
          <w:divBdr>
            <w:top w:val="none" w:sz="0" w:space="0" w:color="auto"/>
            <w:left w:val="none" w:sz="0" w:space="0" w:color="auto"/>
            <w:bottom w:val="none" w:sz="0" w:space="0" w:color="auto"/>
            <w:right w:val="none" w:sz="0" w:space="0" w:color="auto"/>
          </w:divBdr>
        </w:div>
        <w:div w:id="508062620">
          <w:marLeft w:val="0"/>
          <w:marRight w:val="0"/>
          <w:marTop w:val="0"/>
          <w:marBottom w:val="0"/>
          <w:divBdr>
            <w:top w:val="none" w:sz="0" w:space="0" w:color="auto"/>
            <w:left w:val="none" w:sz="0" w:space="0" w:color="auto"/>
            <w:bottom w:val="none" w:sz="0" w:space="0" w:color="auto"/>
            <w:right w:val="none" w:sz="0" w:space="0" w:color="auto"/>
          </w:divBdr>
        </w:div>
        <w:div w:id="1483541882">
          <w:marLeft w:val="0"/>
          <w:marRight w:val="0"/>
          <w:marTop w:val="0"/>
          <w:marBottom w:val="0"/>
          <w:divBdr>
            <w:top w:val="none" w:sz="0" w:space="0" w:color="auto"/>
            <w:left w:val="none" w:sz="0" w:space="0" w:color="auto"/>
            <w:bottom w:val="none" w:sz="0" w:space="0" w:color="auto"/>
            <w:right w:val="none" w:sz="0" w:space="0" w:color="auto"/>
          </w:divBdr>
        </w:div>
        <w:div w:id="52235545">
          <w:marLeft w:val="0"/>
          <w:marRight w:val="0"/>
          <w:marTop w:val="0"/>
          <w:marBottom w:val="0"/>
          <w:divBdr>
            <w:top w:val="none" w:sz="0" w:space="0" w:color="auto"/>
            <w:left w:val="none" w:sz="0" w:space="0" w:color="auto"/>
            <w:bottom w:val="none" w:sz="0" w:space="0" w:color="auto"/>
            <w:right w:val="none" w:sz="0" w:space="0" w:color="auto"/>
          </w:divBdr>
        </w:div>
        <w:div w:id="2089111912">
          <w:marLeft w:val="0"/>
          <w:marRight w:val="0"/>
          <w:marTop w:val="0"/>
          <w:marBottom w:val="0"/>
          <w:divBdr>
            <w:top w:val="none" w:sz="0" w:space="0" w:color="auto"/>
            <w:left w:val="none" w:sz="0" w:space="0" w:color="auto"/>
            <w:bottom w:val="none" w:sz="0" w:space="0" w:color="auto"/>
            <w:right w:val="none" w:sz="0" w:space="0" w:color="auto"/>
          </w:divBdr>
        </w:div>
        <w:div w:id="605618994">
          <w:marLeft w:val="0"/>
          <w:marRight w:val="0"/>
          <w:marTop w:val="0"/>
          <w:marBottom w:val="0"/>
          <w:divBdr>
            <w:top w:val="none" w:sz="0" w:space="0" w:color="auto"/>
            <w:left w:val="none" w:sz="0" w:space="0" w:color="auto"/>
            <w:bottom w:val="none" w:sz="0" w:space="0" w:color="auto"/>
            <w:right w:val="none" w:sz="0" w:space="0" w:color="auto"/>
          </w:divBdr>
        </w:div>
        <w:div w:id="595749317">
          <w:marLeft w:val="0"/>
          <w:marRight w:val="0"/>
          <w:marTop w:val="0"/>
          <w:marBottom w:val="0"/>
          <w:divBdr>
            <w:top w:val="none" w:sz="0" w:space="0" w:color="auto"/>
            <w:left w:val="none" w:sz="0" w:space="0" w:color="auto"/>
            <w:bottom w:val="none" w:sz="0" w:space="0" w:color="auto"/>
            <w:right w:val="none" w:sz="0" w:space="0" w:color="auto"/>
          </w:divBdr>
        </w:div>
        <w:div w:id="1324814707">
          <w:marLeft w:val="0"/>
          <w:marRight w:val="0"/>
          <w:marTop w:val="0"/>
          <w:marBottom w:val="0"/>
          <w:divBdr>
            <w:top w:val="none" w:sz="0" w:space="0" w:color="auto"/>
            <w:left w:val="none" w:sz="0" w:space="0" w:color="auto"/>
            <w:bottom w:val="none" w:sz="0" w:space="0" w:color="auto"/>
            <w:right w:val="none" w:sz="0" w:space="0" w:color="auto"/>
          </w:divBdr>
        </w:div>
        <w:div w:id="1980770263">
          <w:marLeft w:val="0"/>
          <w:marRight w:val="0"/>
          <w:marTop w:val="0"/>
          <w:marBottom w:val="0"/>
          <w:divBdr>
            <w:top w:val="none" w:sz="0" w:space="0" w:color="auto"/>
            <w:left w:val="none" w:sz="0" w:space="0" w:color="auto"/>
            <w:bottom w:val="none" w:sz="0" w:space="0" w:color="auto"/>
            <w:right w:val="none" w:sz="0" w:space="0" w:color="auto"/>
          </w:divBdr>
        </w:div>
        <w:div w:id="41179332">
          <w:marLeft w:val="0"/>
          <w:marRight w:val="0"/>
          <w:marTop w:val="0"/>
          <w:marBottom w:val="0"/>
          <w:divBdr>
            <w:top w:val="none" w:sz="0" w:space="0" w:color="auto"/>
            <w:left w:val="none" w:sz="0" w:space="0" w:color="auto"/>
            <w:bottom w:val="none" w:sz="0" w:space="0" w:color="auto"/>
            <w:right w:val="none" w:sz="0" w:space="0" w:color="auto"/>
          </w:divBdr>
        </w:div>
        <w:div w:id="95948667">
          <w:marLeft w:val="0"/>
          <w:marRight w:val="0"/>
          <w:marTop w:val="0"/>
          <w:marBottom w:val="0"/>
          <w:divBdr>
            <w:top w:val="none" w:sz="0" w:space="0" w:color="auto"/>
            <w:left w:val="none" w:sz="0" w:space="0" w:color="auto"/>
            <w:bottom w:val="none" w:sz="0" w:space="0" w:color="auto"/>
            <w:right w:val="none" w:sz="0" w:space="0" w:color="auto"/>
          </w:divBdr>
        </w:div>
        <w:div w:id="2138840186">
          <w:marLeft w:val="0"/>
          <w:marRight w:val="0"/>
          <w:marTop w:val="0"/>
          <w:marBottom w:val="0"/>
          <w:divBdr>
            <w:top w:val="none" w:sz="0" w:space="0" w:color="auto"/>
            <w:left w:val="none" w:sz="0" w:space="0" w:color="auto"/>
            <w:bottom w:val="none" w:sz="0" w:space="0" w:color="auto"/>
            <w:right w:val="none" w:sz="0" w:space="0" w:color="auto"/>
          </w:divBdr>
        </w:div>
        <w:div w:id="152187449">
          <w:marLeft w:val="0"/>
          <w:marRight w:val="0"/>
          <w:marTop w:val="0"/>
          <w:marBottom w:val="0"/>
          <w:divBdr>
            <w:top w:val="none" w:sz="0" w:space="0" w:color="auto"/>
            <w:left w:val="none" w:sz="0" w:space="0" w:color="auto"/>
            <w:bottom w:val="none" w:sz="0" w:space="0" w:color="auto"/>
            <w:right w:val="none" w:sz="0" w:space="0" w:color="auto"/>
          </w:divBdr>
        </w:div>
        <w:div w:id="997078934">
          <w:marLeft w:val="0"/>
          <w:marRight w:val="0"/>
          <w:marTop w:val="0"/>
          <w:marBottom w:val="0"/>
          <w:divBdr>
            <w:top w:val="none" w:sz="0" w:space="0" w:color="auto"/>
            <w:left w:val="none" w:sz="0" w:space="0" w:color="auto"/>
            <w:bottom w:val="none" w:sz="0" w:space="0" w:color="auto"/>
            <w:right w:val="none" w:sz="0" w:space="0" w:color="auto"/>
          </w:divBdr>
        </w:div>
        <w:div w:id="2078820905">
          <w:marLeft w:val="0"/>
          <w:marRight w:val="0"/>
          <w:marTop w:val="0"/>
          <w:marBottom w:val="0"/>
          <w:divBdr>
            <w:top w:val="none" w:sz="0" w:space="0" w:color="auto"/>
            <w:left w:val="none" w:sz="0" w:space="0" w:color="auto"/>
            <w:bottom w:val="none" w:sz="0" w:space="0" w:color="auto"/>
            <w:right w:val="none" w:sz="0" w:space="0" w:color="auto"/>
          </w:divBdr>
        </w:div>
        <w:div w:id="636684316">
          <w:marLeft w:val="0"/>
          <w:marRight w:val="0"/>
          <w:marTop w:val="0"/>
          <w:marBottom w:val="0"/>
          <w:divBdr>
            <w:top w:val="none" w:sz="0" w:space="0" w:color="auto"/>
            <w:left w:val="none" w:sz="0" w:space="0" w:color="auto"/>
            <w:bottom w:val="none" w:sz="0" w:space="0" w:color="auto"/>
            <w:right w:val="none" w:sz="0" w:space="0" w:color="auto"/>
          </w:divBdr>
        </w:div>
        <w:div w:id="357314733">
          <w:marLeft w:val="0"/>
          <w:marRight w:val="0"/>
          <w:marTop w:val="0"/>
          <w:marBottom w:val="0"/>
          <w:divBdr>
            <w:top w:val="none" w:sz="0" w:space="0" w:color="auto"/>
            <w:left w:val="none" w:sz="0" w:space="0" w:color="auto"/>
            <w:bottom w:val="none" w:sz="0" w:space="0" w:color="auto"/>
            <w:right w:val="none" w:sz="0" w:space="0" w:color="auto"/>
          </w:divBdr>
        </w:div>
        <w:div w:id="1790783177">
          <w:marLeft w:val="0"/>
          <w:marRight w:val="0"/>
          <w:marTop w:val="0"/>
          <w:marBottom w:val="0"/>
          <w:divBdr>
            <w:top w:val="none" w:sz="0" w:space="0" w:color="auto"/>
            <w:left w:val="none" w:sz="0" w:space="0" w:color="auto"/>
            <w:bottom w:val="none" w:sz="0" w:space="0" w:color="auto"/>
            <w:right w:val="none" w:sz="0" w:space="0" w:color="auto"/>
          </w:divBdr>
        </w:div>
        <w:div w:id="1657104450">
          <w:marLeft w:val="0"/>
          <w:marRight w:val="0"/>
          <w:marTop w:val="0"/>
          <w:marBottom w:val="0"/>
          <w:divBdr>
            <w:top w:val="none" w:sz="0" w:space="0" w:color="auto"/>
            <w:left w:val="none" w:sz="0" w:space="0" w:color="auto"/>
            <w:bottom w:val="none" w:sz="0" w:space="0" w:color="auto"/>
            <w:right w:val="none" w:sz="0" w:space="0" w:color="auto"/>
          </w:divBdr>
        </w:div>
        <w:div w:id="1399785194">
          <w:marLeft w:val="0"/>
          <w:marRight w:val="0"/>
          <w:marTop w:val="0"/>
          <w:marBottom w:val="0"/>
          <w:divBdr>
            <w:top w:val="none" w:sz="0" w:space="0" w:color="auto"/>
            <w:left w:val="none" w:sz="0" w:space="0" w:color="auto"/>
            <w:bottom w:val="none" w:sz="0" w:space="0" w:color="auto"/>
            <w:right w:val="none" w:sz="0" w:space="0" w:color="auto"/>
          </w:divBdr>
        </w:div>
        <w:div w:id="1380781851">
          <w:marLeft w:val="0"/>
          <w:marRight w:val="0"/>
          <w:marTop w:val="0"/>
          <w:marBottom w:val="0"/>
          <w:divBdr>
            <w:top w:val="none" w:sz="0" w:space="0" w:color="auto"/>
            <w:left w:val="none" w:sz="0" w:space="0" w:color="auto"/>
            <w:bottom w:val="none" w:sz="0" w:space="0" w:color="auto"/>
            <w:right w:val="none" w:sz="0" w:space="0" w:color="auto"/>
          </w:divBdr>
        </w:div>
        <w:div w:id="2096198201">
          <w:marLeft w:val="0"/>
          <w:marRight w:val="0"/>
          <w:marTop w:val="0"/>
          <w:marBottom w:val="0"/>
          <w:divBdr>
            <w:top w:val="none" w:sz="0" w:space="0" w:color="auto"/>
            <w:left w:val="none" w:sz="0" w:space="0" w:color="auto"/>
            <w:bottom w:val="none" w:sz="0" w:space="0" w:color="auto"/>
            <w:right w:val="none" w:sz="0" w:space="0" w:color="auto"/>
          </w:divBdr>
        </w:div>
        <w:div w:id="331101311">
          <w:marLeft w:val="0"/>
          <w:marRight w:val="0"/>
          <w:marTop w:val="0"/>
          <w:marBottom w:val="0"/>
          <w:divBdr>
            <w:top w:val="none" w:sz="0" w:space="0" w:color="auto"/>
            <w:left w:val="none" w:sz="0" w:space="0" w:color="auto"/>
            <w:bottom w:val="none" w:sz="0" w:space="0" w:color="auto"/>
            <w:right w:val="none" w:sz="0" w:space="0" w:color="auto"/>
          </w:divBdr>
        </w:div>
        <w:div w:id="2122141146">
          <w:marLeft w:val="0"/>
          <w:marRight w:val="0"/>
          <w:marTop w:val="0"/>
          <w:marBottom w:val="0"/>
          <w:divBdr>
            <w:top w:val="none" w:sz="0" w:space="0" w:color="auto"/>
            <w:left w:val="none" w:sz="0" w:space="0" w:color="auto"/>
            <w:bottom w:val="none" w:sz="0" w:space="0" w:color="auto"/>
            <w:right w:val="none" w:sz="0" w:space="0" w:color="auto"/>
          </w:divBdr>
        </w:div>
        <w:div w:id="937062323">
          <w:marLeft w:val="0"/>
          <w:marRight w:val="0"/>
          <w:marTop w:val="0"/>
          <w:marBottom w:val="0"/>
          <w:divBdr>
            <w:top w:val="none" w:sz="0" w:space="0" w:color="auto"/>
            <w:left w:val="none" w:sz="0" w:space="0" w:color="auto"/>
            <w:bottom w:val="none" w:sz="0" w:space="0" w:color="auto"/>
            <w:right w:val="none" w:sz="0" w:space="0" w:color="auto"/>
          </w:divBdr>
        </w:div>
        <w:div w:id="1144617172">
          <w:marLeft w:val="0"/>
          <w:marRight w:val="0"/>
          <w:marTop w:val="0"/>
          <w:marBottom w:val="0"/>
          <w:divBdr>
            <w:top w:val="none" w:sz="0" w:space="0" w:color="auto"/>
            <w:left w:val="none" w:sz="0" w:space="0" w:color="auto"/>
            <w:bottom w:val="none" w:sz="0" w:space="0" w:color="auto"/>
            <w:right w:val="none" w:sz="0" w:space="0" w:color="auto"/>
          </w:divBdr>
        </w:div>
        <w:div w:id="374693121">
          <w:marLeft w:val="0"/>
          <w:marRight w:val="0"/>
          <w:marTop w:val="0"/>
          <w:marBottom w:val="0"/>
          <w:divBdr>
            <w:top w:val="none" w:sz="0" w:space="0" w:color="auto"/>
            <w:left w:val="none" w:sz="0" w:space="0" w:color="auto"/>
            <w:bottom w:val="none" w:sz="0" w:space="0" w:color="auto"/>
            <w:right w:val="none" w:sz="0" w:space="0" w:color="auto"/>
          </w:divBdr>
        </w:div>
        <w:div w:id="437532591">
          <w:marLeft w:val="0"/>
          <w:marRight w:val="0"/>
          <w:marTop w:val="0"/>
          <w:marBottom w:val="0"/>
          <w:divBdr>
            <w:top w:val="none" w:sz="0" w:space="0" w:color="auto"/>
            <w:left w:val="none" w:sz="0" w:space="0" w:color="auto"/>
            <w:bottom w:val="none" w:sz="0" w:space="0" w:color="auto"/>
            <w:right w:val="none" w:sz="0" w:space="0" w:color="auto"/>
          </w:divBdr>
        </w:div>
        <w:div w:id="1365135224">
          <w:marLeft w:val="0"/>
          <w:marRight w:val="0"/>
          <w:marTop w:val="0"/>
          <w:marBottom w:val="0"/>
          <w:divBdr>
            <w:top w:val="none" w:sz="0" w:space="0" w:color="auto"/>
            <w:left w:val="none" w:sz="0" w:space="0" w:color="auto"/>
            <w:bottom w:val="none" w:sz="0" w:space="0" w:color="auto"/>
            <w:right w:val="none" w:sz="0" w:space="0" w:color="auto"/>
          </w:divBdr>
        </w:div>
        <w:div w:id="1220900255">
          <w:marLeft w:val="0"/>
          <w:marRight w:val="0"/>
          <w:marTop w:val="0"/>
          <w:marBottom w:val="0"/>
          <w:divBdr>
            <w:top w:val="none" w:sz="0" w:space="0" w:color="auto"/>
            <w:left w:val="none" w:sz="0" w:space="0" w:color="auto"/>
            <w:bottom w:val="none" w:sz="0" w:space="0" w:color="auto"/>
            <w:right w:val="none" w:sz="0" w:space="0" w:color="auto"/>
          </w:divBdr>
        </w:div>
        <w:div w:id="2092114926">
          <w:marLeft w:val="0"/>
          <w:marRight w:val="0"/>
          <w:marTop w:val="0"/>
          <w:marBottom w:val="0"/>
          <w:divBdr>
            <w:top w:val="none" w:sz="0" w:space="0" w:color="auto"/>
            <w:left w:val="none" w:sz="0" w:space="0" w:color="auto"/>
            <w:bottom w:val="none" w:sz="0" w:space="0" w:color="auto"/>
            <w:right w:val="none" w:sz="0" w:space="0" w:color="auto"/>
          </w:divBdr>
        </w:div>
        <w:div w:id="1797019068">
          <w:marLeft w:val="0"/>
          <w:marRight w:val="0"/>
          <w:marTop w:val="0"/>
          <w:marBottom w:val="0"/>
          <w:divBdr>
            <w:top w:val="none" w:sz="0" w:space="0" w:color="auto"/>
            <w:left w:val="none" w:sz="0" w:space="0" w:color="auto"/>
            <w:bottom w:val="none" w:sz="0" w:space="0" w:color="auto"/>
            <w:right w:val="none" w:sz="0" w:space="0" w:color="auto"/>
          </w:divBdr>
        </w:div>
        <w:div w:id="1033649376">
          <w:marLeft w:val="0"/>
          <w:marRight w:val="0"/>
          <w:marTop w:val="0"/>
          <w:marBottom w:val="0"/>
          <w:divBdr>
            <w:top w:val="none" w:sz="0" w:space="0" w:color="auto"/>
            <w:left w:val="none" w:sz="0" w:space="0" w:color="auto"/>
            <w:bottom w:val="none" w:sz="0" w:space="0" w:color="auto"/>
            <w:right w:val="none" w:sz="0" w:space="0" w:color="auto"/>
          </w:divBdr>
        </w:div>
        <w:div w:id="1977683513">
          <w:marLeft w:val="0"/>
          <w:marRight w:val="0"/>
          <w:marTop w:val="0"/>
          <w:marBottom w:val="0"/>
          <w:divBdr>
            <w:top w:val="none" w:sz="0" w:space="0" w:color="auto"/>
            <w:left w:val="none" w:sz="0" w:space="0" w:color="auto"/>
            <w:bottom w:val="none" w:sz="0" w:space="0" w:color="auto"/>
            <w:right w:val="none" w:sz="0" w:space="0" w:color="auto"/>
          </w:divBdr>
        </w:div>
        <w:div w:id="1055853568">
          <w:marLeft w:val="0"/>
          <w:marRight w:val="0"/>
          <w:marTop w:val="0"/>
          <w:marBottom w:val="0"/>
          <w:divBdr>
            <w:top w:val="none" w:sz="0" w:space="0" w:color="auto"/>
            <w:left w:val="none" w:sz="0" w:space="0" w:color="auto"/>
            <w:bottom w:val="none" w:sz="0" w:space="0" w:color="auto"/>
            <w:right w:val="none" w:sz="0" w:space="0" w:color="auto"/>
          </w:divBdr>
        </w:div>
        <w:div w:id="1806317722">
          <w:marLeft w:val="0"/>
          <w:marRight w:val="0"/>
          <w:marTop w:val="0"/>
          <w:marBottom w:val="0"/>
          <w:divBdr>
            <w:top w:val="none" w:sz="0" w:space="0" w:color="auto"/>
            <w:left w:val="none" w:sz="0" w:space="0" w:color="auto"/>
            <w:bottom w:val="none" w:sz="0" w:space="0" w:color="auto"/>
            <w:right w:val="none" w:sz="0" w:space="0" w:color="auto"/>
          </w:divBdr>
        </w:div>
        <w:div w:id="145753556">
          <w:marLeft w:val="0"/>
          <w:marRight w:val="0"/>
          <w:marTop w:val="0"/>
          <w:marBottom w:val="0"/>
          <w:divBdr>
            <w:top w:val="none" w:sz="0" w:space="0" w:color="auto"/>
            <w:left w:val="none" w:sz="0" w:space="0" w:color="auto"/>
            <w:bottom w:val="none" w:sz="0" w:space="0" w:color="auto"/>
            <w:right w:val="none" w:sz="0" w:space="0" w:color="auto"/>
          </w:divBdr>
        </w:div>
        <w:div w:id="623344656">
          <w:marLeft w:val="0"/>
          <w:marRight w:val="0"/>
          <w:marTop w:val="0"/>
          <w:marBottom w:val="0"/>
          <w:divBdr>
            <w:top w:val="none" w:sz="0" w:space="0" w:color="auto"/>
            <w:left w:val="none" w:sz="0" w:space="0" w:color="auto"/>
            <w:bottom w:val="none" w:sz="0" w:space="0" w:color="auto"/>
            <w:right w:val="none" w:sz="0" w:space="0" w:color="auto"/>
          </w:divBdr>
        </w:div>
      </w:divsChild>
    </w:div>
    <w:div w:id="587811738">
      <w:bodyDiv w:val="1"/>
      <w:marLeft w:val="0"/>
      <w:marRight w:val="0"/>
      <w:marTop w:val="0"/>
      <w:marBottom w:val="0"/>
      <w:divBdr>
        <w:top w:val="none" w:sz="0" w:space="0" w:color="auto"/>
        <w:left w:val="none" w:sz="0" w:space="0" w:color="auto"/>
        <w:bottom w:val="none" w:sz="0" w:space="0" w:color="auto"/>
        <w:right w:val="none" w:sz="0" w:space="0" w:color="auto"/>
      </w:divBdr>
    </w:div>
    <w:div w:id="608195651">
      <w:bodyDiv w:val="1"/>
      <w:marLeft w:val="0"/>
      <w:marRight w:val="0"/>
      <w:marTop w:val="0"/>
      <w:marBottom w:val="0"/>
      <w:divBdr>
        <w:top w:val="none" w:sz="0" w:space="0" w:color="auto"/>
        <w:left w:val="none" w:sz="0" w:space="0" w:color="auto"/>
        <w:bottom w:val="none" w:sz="0" w:space="0" w:color="auto"/>
        <w:right w:val="none" w:sz="0" w:space="0" w:color="auto"/>
      </w:divBdr>
    </w:div>
    <w:div w:id="644624101">
      <w:bodyDiv w:val="1"/>
      <w:marLeft w:val="0"/>
      <w:marRight w:val="0"/>
      <w:marTop w:val="0"/>
      <w:marBottom w:val="0"/>
      <w:divBdr>
        <w:top w:val="none" w:sz="0" w:space="0" w:color="auto"/>
        <w:left w:val="none" w:sz="0" w:space="0" w:color="auto"/>
        <w:bottom w:val="none" w:sz="0" w:space="0" w:color="auto"/>
        <w:right w:val="none" w:sz="0" w:space="0" w:color="auto"/>
      </w:divBdr>
    </w:div>
    <w:div w:id="753891552">
      <w:bodyDiv w:val="1"/>
      <w:marLeft w:val="0"/>
      <w:marRight w:val="0"/>
      <w:marTop w:val="0"/>
      <w:marBottom w:val="0"/>
      <w:divBdr>
        <w:top w:val="none" w:sz="0" w:space="0" w:color="auto"/>
        <w:left w:val="none" w:sz="0" w:space="0" w:color="auto"/>
        <w:bottom w:val="none" w:sz="0" w:space="0" w:color="auto"/>
        <w:right w:val="none" w:sz="0" w:space="0" w:color="auto"/>
      </w:divBdr>
    </w:div>
    <w:div w:id="764037801">
      <w:bodyDiv w:val="1"/>
      <w:marLeft w:val="0"/>
      <w:marRight w:val="0"/>
      <w:marTop w:val="0"/>
      <w:marBottom w:val="0"/>
      <w:divBdr>
        <w:top w:val="none" w:sz="0" w:space="0" w:color="auto"/>
        <w:left w:val="none" w:sz="0" w:space="0" w:color="auto"/>
        <w:bottom w:val="none" w:sz="0" w:space="0" w:color="auto"/>
        <w:right w:val="none" w:sz="0" w:space="0" w:color="auto"/>
      </w:divBdr>
    </w:div>
    <w:div w:id="852643868">
      <w:bodyDiv w:val="1"/>
      <w:marLeft w:val="0"/>
      <w:marRight w:val="0"/>
      <w:marTop w:val="0"/>
      <w:marBottom w:val="0"/>
      <w:divBdr>
        <w:top w:val="none" w:sz="0" w:space="0" w:color="auto"/>
        <w:left w:val="none" w:sz="0" w:space="0" w:color="auto"/>
        <w:bottom w:val="none" w:sz="0" w:space="0" w:color="auto"/>
        <w:right w:val="none" w:sz="0" w:space="0" w:color="auto"/>
      </w:divBdr>
    </w:div>
    <w:div w:id="877930379">
      <w:bodyDiv w:val="1"/>
      <w:marLeft w:val="0"/>
      <w:marRight w:val="0"/>
      <w:marTop w:val="0"/>
      <w:marBottom w:val="0"/>
      <w:divBdr>
        <w:top w:val="none" w:sz="0" w:space="0" w:color="auto"/>
        <w:left w:val="none" w:sz="0" w:space="0" w:color="auto"/>
        <w:bottom w:val="none" w:sz="0" w:space="0" w:color="auto"/>
        <w:right w:val="none" w:sz="0" w:space="0" w:color="auto"/>
      </w:divBdr>
    </w:div>
    <w:div w:id="942031920">
      <w:bodyDiv w:val="1"/>
      <w:marLeft w:val="0"/>
      <w:marRight w:val="0"/>
      <w:marTop w:val="0"/>
      <w:marBottom w:val="0"/>
      <w:divBdr>
        <w:top w:val="none" w:sz="0" w:space="0" w:color="auto"/>
        <w:left w:val="none" w:sz="0" w:space="0" w:color="auto"/>
        <w:bottom w:val="none" w:sz="0" w:space="0" w:color="auto"/>
        <w:right w:val="none" w:sz="0" w:space="0" w:color="auto"/>
      </w:divBdr>
    </w:div>
    <w:div w:id="971517480">
      <w:bodyDiv w:val="1"/>
      <w:marLeft w:val="0"/>
      <w:marRight w:val="0"/>
      <w:marTop w:val="0"/>
      <w:marBottom w:val="0"/>
      <w:divBdr>
        <w:top w:val="none" w:sz="0" w:space="0" w:color="auto"/>
        <w:left w:val="none" w:sz="0" w:space="0" w:color="auto"/>
        <w:bottom w:val="none" w:sz="0" w:space="0" w:color="auto"/>
        <w:right w:val="none" w:sz="0" w:space="0" w:color="auto"/>
      </w:divBdr>
      <w:divsChild>
        <w:div w:id="1712146990">
          <w:marLeft w:val="0"/>
          <w:marRight w:val="0"/>
          <w:marTop w:val="0"/>
          <w:marBottom w:val="0"/>
          <w:divBdr>
            <w:top w:val="none" w:sz="0" w:space="0" w:color="auto"/>
            <w:left w:val="none" w:sz="0" w:space="0" w:color="auto"/>
            <w:bottom w:val="none" w:sz="0" w:space="0" w:color="auto"/>
            <w:right w:val="none" w:sz="0" w:space="0" w:color="auto"/>
          </w:divBdr>
        </w:div>
        <w:div w:id="1873609394">
          <w:marLeft w:val="0"/>
          <w:marRight w:val="0"/>
          <w:marTop w:val="0"/>
          <w:marBottom w:val="0"/>
          <w:divBdr>
            <w:top w:val="none" w:sz="0" w:space="0" w:color="auto"/>
            <w:left w:val="none" w:sz="0" w:space="0" w:color="auto"/>
            <w:bottom w:val="none" w:sz="0" w:space="0" w:color="auto"/>
            <w:right w:val="none" w:sz="0" w:space="0" w:color="auto"/>
          </w:divBdr>
        </w:div>
        <w:div w:id="2064937826">
          <w:marLeft w:val="0"/>
          <w:marRight w:val="0"/>
          <w:marTop w:val="0"/>
          <w:marBottom w:val="0"/>
          <w:divBdr>
            <w:top w:val="none" w:sz="0" w:space="0" w:color="auto"/>
            <w:left w:val="none" w:sz="0" w:space="0" w:color="auto"/>
            <w:bottom w:val="none" w:sz="0" w:space="0" w:color="auto"/>
            <w:right w:val="none" w:sz="0" w:space="0" w:color="auto"/>
          </w:divBdr>
        </w:div>
        <w:div w:id="737820728">
          <w:marLeft w:val="0"/>
          <w:marRight w:val="0"/>
          <w:marTop w:val="0"/>
          <w:marBottom w:val="0"/>
          <w:divBdr>
            <w:top w:val="none" w:sz="0" w:space="0" w:color="auto"/>
            <w:left w:val="none" w:sz="0" w:space="0" w:color="auto"/>
            <w:bottom w:val="none" w:sz="0" w:space="0" w:color="auto"/>
            <w:right w:val="none" w:sz="0" w:space="0" w:color="auto"/>
          </w:divBdr>
        </w:div>
        <w:div w:id="1185944359">
          <w:marLeft w:val="0"/>
          <w:marRight w:val="0"/>
          <w:marTop w:val="0"/>
          <w:marBottom w:val="0"/>
          <w:divBdr>
            <w:top w:val="none" w:sz="0" w:space="0" w:color="auto"/>
            <w:left w:val="none" w:sz="0" w:space="0" w:color="auto"/>
            <w:bottom w:val="none" w:sz="0" w:space="0" w:color="auto"/>
            <w:right w:val="none" w:sz="0" w:space="0" w:color="auto"/>
          </w:divBdr>
        </w:div>
      </w:divsChild>
    </w:div>
    <w:div w:id="1024131233">
      <w:bodyDiv w:val="1"/>
      <w:marLeft w:val="0"/>
      <w:marRight w:val="0"/>
      <w:marTop w:val="0"/>
      <w:marBottom w:val="0"/>
      <w:divBdr>
        <w:top w:val="none" w:sz="0" w:space="0" w:color="auto"/>
        <w:left w:val="none" w:sz="0" w:space="0" w:color="auto"/>
        <w:bottom w:val="none" w:sz="0" w:space="0" w:color="auto"/>
        <w:right w:val="none" w:sz="0" w:space="0" w:color="auto"/>
      </w:divBdr>
    </w:div>
    <w:div w:id="1072967998">
      <w:bodyDiv w:val="1"/>
      <w:marLeft w:val="0"/>
      <w:marRight w:val="0"/>
      <w:marTop w:val="0"/>
      <w:marBottom w:val="0"/>
      <w:divBdr>
        <w:top w:val="none" w:sz="0" w:space="0" w:color="auto"/>
        <w:left w:val="none" w:sz="0" w:space="0" w:color="auto"/>
        <w:bottom w:val="none" w:sz="0" w:space="0" w:color="auto"/>
        <w:right w:val="none" w:sz="0" w:space="0" w:color="auto"/>
      </w:divBdr>
    </w:div>
    <w:div w:id="1075125461">
      <w:bodyDiv w:val="1"/>
      <w:marLeft w:val="0"/>
      <w:marRight w:val="0"/>
      <w:marTop w:val="0"/>
      <w:marBottom w:val="0"/>
      <w:divBdr>
        <w:top w:val="none" w:sz="0" w:space="0" w:color="auto"/>
        <w:left w:val="none" w:sz="0" w:space="0" w:color="auto"/>
        <w:bottom w:val="none" w:sz="0" w:space="0" w:color="auto"/>
        <w:right w:val="none" w:sz="0" w:space="0" w:color="auto"/>
      </w:divBdr>
    </w:div>
    <w:div w:id="1141266977">
      <w:bodyDiv w:val="1"/>
      <w:marLeft w:val="0"/>
      <w:marRight w:val="0"/>
      <w:marTop w:val="0"/>
      <w:marBottom w:val="0"/>
      <w:divBdr>
        <w:top w:val="none" w:sz="0" w:space="0" w:color="auto"/>
        <w:left w:val="none" w:sz="0" w:space="0" w:color="auto"/>
        <w:bottom w:val="none" w:sz="0" w:space="0" w:color="auto"/>
        <w:right w:val="none" w:sz="0" w:space="0" w:color="auto"/>
      </w:divBdr>
      <w:divsChild>
        <w:div w:id="805510008">
          <w:marLeft w:val="0"/>
          <w:marRight w:val="0"/>
          <w:marTop w:val="0"/>
          <w:marBottom w:val="0"/>
          <w:divBdr>
            <w:top w:val="none" w:sz="0" w:space="0" w:color="auto"/>
            <w:left w:val="none" w:sz="0" w:space="0" w:color="auto"/>
            <w:bottom w:val="none" w:sz="0" w:space="0" w:color="auto"/>
            <w:right w:val="none" w:sz="0" w:space="0" w:color="auto"/>
          </w:divBdr>
        </w:div>
        <w:div w:id="1810591020">
          <w:marLeft w:val="0"/>
          <w:marRight w:val="0"/>
          <w:marTop w:val="0"/>
          <w:marBottom w:val="0"/>
          <w:divBdr>
            <w:top w:val="none" w:sz="0" w:space="0" w:color="auto"/>
            <w:left w:val="none" w:sz="0" w:space="0" w:color="auto"/>
            <w:bottom w:val="none" w:sz="0" w:space="0" w:color="auto"/>
            <w:right w:val="none" w:sz="0" w:space="0" w:color="auto"/>
          </w:divBdr>
        </w:div>
        <w:div w:id="1662467584">
          <w:marLeft w:val="0"/>
          <w:marRight w:val="0"/>
          <w:marTop w:val="0"/>
          <w:marBottom w:val="0"/>
          <w:divBdr>
            <w:top w:val="none" w:sz="0" w:space="0" w:color="auto"/>
            <w:left w:val="none" w:sz="0" w:space="0" w:color="auto"/>
            <w:bottom w:val="none" w:sz="0" w:space="0" w:color="auto"/>
            <w:right w:val="none" w:sz="0" w:space="0" w:color="auto"/>
          </w:divBdr>
        </w:div>
        <w:div w:id="842546475">
          <w:marLeft w:val="0"/>
          <w:marRight w:val="0"/>
          <w:marTop w:val="0"/>
          <w:marBottom w:val="0"/>
          <w:divBdr>
            <w:top w:val="none" w:sz="0" w:space="0" w:color="auto"/>
            <w:left w:val="none" w:sz="0" w:space="0" w:color="auto"/>
            <w:bottom w:val="none" w:sz="0" w:space="0" w:color="auto"/>
            <w:right w:val="none" w:sz="0" w:space="0" w:color="auto"/>
          </w:divBdr>
        </w:div>
        <w:div w:id="1124890834">
          <w:marLeft w:val="0"/>
          <w:marRight w:val="0"/>
          <w:marTop w:val="0"/>
          <w:marBottom w:val="0"/>
          <w:divBdr>
            <w:top w:val="none" w:sz="0" w:space="0" w:color="auto"/>
            <w:left w:val="none" w:sz="0" w:space="0" w:color="auto"/>
            <w:bottom w:val="none" w:sz="0" w:space="0" w:color="auto"/>
            <w:right w:val="none" w:sz="0" w:space="0" w:color="auto"/>
          </w:divBdr>
        </w:div>
        <w:div w:id="921447235">
          <w:marLeft w:val="0"/>
          <w:marRight w:val="0"/>
          <w:marTop w:val="0"/>
          <w:marBottom w:val="0"/>
          <w:divBdr>
            <w:top w:val="none" w:sz="0" w:space="0" w:color="auto"/>
            <w:left w:val="none" w:sz="0" w:space="0" w:color="auto"/>
            <w:bottom w:val="none" w:sz="0" w:space="0" w:color="auto"/>
            <w:right w:val="none" w:sz="0" w:space="0" w:color="auto"/>
          </w:divBdr>
        </w:div>
      </w:divsChild>
    </w:div>
    <w:div w:id="1213034145">
      <w:bodyDiv w:val="1"/>
      <w:marLeft w:val="0"/>
      <w:marRight w:val="0"/>
      <w:marTop w:val="0"/>
      <w:marBottom w:val="0"/>
      <w:divBdr>
        <w:top w:val="none" w:sz="0" w:space="0" w:color="auto"/>
        <w:left w:val="none" w:sz="0" w:space="0" w:color="auto"/>
        <w:bottom w:val="none" w:sz="0" w:space="0" w:color="auto"/>
        <w:right w:val="none" w:sz="0" w:space="0" w:color="auto"/>
      </w:divBdr>
    </w:div>
    <w:div w:id="1261910022">
      <w:bodyDiv w:val="1"/>
      <w:marLeft w:val="0"/>
      <w:marRight w:val="0"/>
      <w:marTop w:val="0"/>
      <w:marBottom w:val="0"/>
      <w:divBdr>
        <w:top w:val="none" w:sz="0" w:space="0" w:color="auto"/>
        <w:left w:val="none" w:sz="0" w:space="0" w:color="auto"/>
        <w:bottom w:val="none" w:sz="0" w:space="0" w:color="auto"/>
        <w:right w:val="none" w:sz="0" w:space="0" w:color="auto"/>
      </w:divBdr>
      <w:divsChild>
        <w:div w:id="1880967530">
          <w:marLeft w:val="0"/>
          <w:marRight w:val="0"/>
          <w:marTop w:val="0"/>
          <w:marBottom w:val="0"/>
          <w:divBdr>
            <w:top w:val="none" w:sz="0" w:space="0" w:color="auto"/>
            <w:left w:val="none" w:sz="0" w:space="0" w:color="auto"/>
            <w:bottom w:val="none" w:sz="0" w:space="0" w:color="auto"/>
            <w:right w:val="none" w:sz="0" w:space="0" w:color="auto"/>
          </w:divBdr>
        </w:div>
        <w:div w:id="328482936">
          <w:marLeft w:val="0"/>
          <w:marRight w:val="0"/>
          <w:marTop w:val="0"/>
          <w:marBottom w:val="0"/>
          <w:divBdr>
            <w:top w:val="none" w:sz="0" w:space="0" w:color="auto"/>
            <w:left w:val="none" w:sz="0" w:space="0" w:color="auto"/>
            <w:bottom w:val="none" w:sz="0" w:space="0" w:color="auto"/>
            <w:right w:val="none" w:sz="0" w:space="0" w:color="auto"/>
          </w:divBdr>
        </w:div>
      </w:divsChild>
    </w:div>
    <w:div w:id="1391533803">
      <w:bodyDiv w:val="1"/>
      <w:marLeft w:val="0"/>
      <w:marRight w:val="0"/>
      <w:marTop w:val="0"/>
      <w:marBottom w:val="0"/>
      <w:divBdr>
        <w:top w:val="none" w:sz="0" w:space="0" w:color="auto"/>
        <w:left w:val="none" w:sz="0" w:space="0" w:color="auto"/>
        <w:bottom w:val="none" w:sz="0" w:space="0" w:color="auto"/>
        <w:right w:val="none" w:sz="0" w:space="0" w:color="auto"/>
      </w:divBdr>
      <w:divsChild>
        <w:div w:id="1387416874">
          <w:marLeft w:val="0"/>
          <w:marRight w:val="0"/>
          <w:marTop w:val="0"/>
          <w:marBottom w:val="0"/>
          <w:divBdr>
            <w:top w:val="none" w:sz="0" w:space="0" w:color="auto"/>
            <w:left w:val="none" w:sz="0" w:space="0" w:color="auto"/>
            <w:bottom w:val="none" w:sz="0" w:space="0" w:color="auto"/>
            <w:right w:val="none" w:sz="0" w:space="0" w:color="auto"/>
          </w:divBdr>
        </w:div>
        <w:div w:id="1750035212">
          <w:marLeft w:val="0"/>
          <w:marRight w:val="0"/>
          <w:marTop w:val="0"/>
          <w:marBottom w:val="0"/>
          <w:divBdr>
            <w:top w:val="none" w:sz="0" w:space="0" w:color="auto"/>
            <w:left w:val="none" w:sz="0" w:space="0" w:color="auto"/>
            <w:bottom w:val="none" w:sz="0" w:space="0" w:color="auto"/>
            <w:right w:val="none" w:sz="0" w:space="0" w:color="auto"/>
          </w:divBdr>
        </w:div>
      </w:divsChild>
    </w:div>
    <w:div w:id="1393194740">
      <w:bodyDiv w:val="1"/>
      <w:marLeft w:val="0"/>
      <w:marRight w:val="0"/>
      <w:marTop w:val="0"/>
      <w:marBottom w:val="0"/>
      <w:divBdr>
        <w:top w:val="none" w:sz="0" w:space="0" w:color="auto"/>
        <w:left w:val="none" w:sz="0" w:space="0" w:color="auto"/>
        <w:bottom w:val="none" w:sz="0" w:space="0" w:color="auto"/>
        <w:right w:val="none" w:sz="0" w:space="0" w:color="auto"/>
      </w:divBdr>
      <w:divsChild>
        <w:div w:id="1800107553">
          <w:marLeft w:val="0"/>
          <w:marRight w:val="0"/>
          <w:marTop w:val="0"/>
          <w:marBottom w:val="0"/>
          <w:divBdr>
            <w:top w:val="none" w:sz="0" w:space="0" w:color="auto"/>
            <w:left w:val="none" w:sz="0" w:space="0" w:color="auto"/>
            <w:bottom w:val="none" w:sz="0" w:space="0" w:color="auto"/>
            <w:right w:val="none" w:sz="0" w:space="0" w:color="auto"/>
          </w:divBdr>
        </w:div>
        <w:div w:id="1773547006">
          <w:marLeft w:val="0"/>
          <w:marRight w:val="0"/>
          <w:marTop w:val="0"/>
          <w:marBottom w:val="0"/>
          <w:divBdr>
            <w:top w:val="none" w:sz="0" w:space="0" w:color="auto"/>
            <w:left w:val="none" w:sz="0" w:space="0" w:color="auto"/>
            <w:bottom w:val="none" w:sz="0" w:space="0" w:color="auto"/>
            <w:right w:val="none" w:sz="0" w:space="0" w:color="auto"/>
          </w:divBdr>
        </w:div>
        <w:div w:id="175390323">
          <w:marLeft w:val="0"/>
          <w:marRight w:val="0"/>
          <w:marTop w:val="0"/>
          <w:marBottom w:val="0"/>
          <w:divBdr>
            <w:top w:val="none" w:sz="0" w:space="0" w:color="auto"/>
            <w:left w:val="none" w:sz="0" w:space="0" w:color="auto"/>
            <w:bottom w:val="none" w:sz="0" w:space="0" w:color="auto"/>
            <w:right w:val="none" w:sz="0" w:space="0" w:color="auto"/>
          </w:divBdr>
        </w:div>
      </w:divsChild>
    </w:div>
    <w:div w:id="1449591106">
      <w:bodyDiv w:val="1"/>
      <w:marLeft w:val="0"/>
      <w:marRight w:val="0"/>
      <w:marTop w:val="0"/>
      <w:marBottom w:val="0"/>
      <w:divBdr>
        <w:top w:val="none" w:sz="0" w:space="0" w:color="auto"/>
        <w:left w:val="none" w:sz="0" w:space="0" w:color="auto"/>
        <w:bottom w:val="none" w:sz="0" w:space="0" w:color="auto"/>
        <w:right w:val="none" w:sz="0" w:space="0" w:color="auto"/>
      </w:divBdr>
      <w:divsChild>
        <w:div w:id="1418864954">
          <w:marLeft w:val="0"/>
          <w:marRight w:val="0"/>
          <w:marTop w:val="0"/>
          <w:marBottom w:val="0"/>
          <w:divBdr>
            <w:top w:val="none" w:sz="0" w:space="0" w:color="auto"/>
            <w:left w:val="none" w:sz="0" w:space="0" w:color="auto"/>
            <w:bottom w:val="none" w:sz="0" w:space="0" w:color="auto"/>
            <w:right w:val="none" w:sz="0" w:space="0" w:color="auto"/>
          </w:divBdr>
        </w:div>
        <w:div w:id="886141479">
          <w:marLeft w:val="0"/>
          <w:marRight w:val="0"/>
          <w:marTop w:val="0"/>
          <w:marBottom w:val="0"/>
          <w:divBdr>
            <w:top w:val="none" w:sz="0" w:space="0" w:color="auto"/>
            <w:left w:val="none" w:sz="0" w:space="0" w:color="auto"/>
            <w:bottom w:val="none" w:sz="0" w:space="0" w:color="auto"/>
            <w:right w:val="none" w:sz="0" w:space="0" w:color="auto"/>
          </w:divBdr>
        </w:div>
        <w:div w:id="1775402266">
          <w:marLeft w:val="0"/>
          <w:marRight w:val="0"/>
          <w:marTop w:val="0"/>
          <w:marBottom w:val="0"/>
          <w:divBdr>
            <w:top w:val="none" w:sz="0" w:space="0" w:color="auto"/>
            <w:left w:val="none" w:sz="0" w:space="0" w:color="auto"/>
            <w:bottom w:val="none" w:sz="0" w:space="0" w:color="auto"/>
            <w:right w:val="none" w:sz="0" w:space="0" w:color="auto"/>
          </w:divBdr>
        </w:div>
        <w:div w:id="1904103208">
          <w:marLeft w:val="0"/>
          <w:marRight w:val="0"/>
          <w:marTop w:val="0"/>
          <w:marBottom w:val="0"/>
          <w:divBdr>
            <w:top w:val="none" w:sz="0" w:space="0" w:color="auto"/>
            <w:left w:val="none" w:sz="0" w:space="0" w:color="auto"/>
            <w:bottom w:val="none" w:sz="0" w:space="0" w:color="auto"/>
            <w:right w:val="none" w:sz="0" w:space="0" w:color="auto"/>
          </w:divBdr>
        </w:div>
      </w:divsChild>
    </w:div>
    <w:div w:id="1521507894">
      <w:bodyDiv w:val="1"/>
      <w:marLeft w:val="0"/>
      <w:marRight w:val="0"/>
      <w:marTop w:val="0"/>
      <w:marBottom w:val="0"/>
      <w:divBdr>
        <w:top w:val="none" w:sz="0" w:space="0" w:color="auto"/>
        <w:left w:val="none" w:sz="0" w:space="0" w:color="auto"/>
        <w:bottom w:val="none" w:sz="0" w:space="0" w:color="auto"/>
        <w:right w:val="none" w:sz="0" w:space="0" w:color="auto"/>
      </w:divBdr>
    </w:div>
    <w:div w:id="1593775261">
      <w:bodyDiv w:val="1"/>
      <w:marLeft w:val="0"/>
      <w:marRight w:val="0"/>
      <w:marTop w:val="0"/>
      <w:marBottom w:val="0"/>
      <w:divBdr>
        <w:top w:val="none" w:sz="0" w:space="0" w:color="auto"/>
        <w:left w:val="none" w:sz="0" w:space="0" w:color="auto"/>
        <w:bottom w:val="none" w:sz="0" w:space="0" w:color="auto"/>
        <w:right w:val="none" w:sz="0" w:space="0" w:color="auto"/>
      </w:divBdr>
    </w:div>
    <w:div w:id="1597709888">
      <w:bodyDiv w:val="1"/>
      <w:marLeft w:val="0"/>
      <w:marRight w:val="0"/>
      <w:marTop w:val="0"/>
      <w:marBottom w:val="0"/>
      <w:divBdr>
        <w:top w:val="none" w:sz="0" w:space="0" w:color="auto"/>
        <w:left w:val="none" w:sz="0" w:space="0" w:color="auto"/>
        <w:bottom w:val="none" w:sz="0" w:space="0" w:color="auto"/>
        <w:right w:val="none" w:sz="0" w:space="0" w:color="auto"/>
      </w:divBdr>
    </w:div>
    <w:div w:id="1686589212">
      <w:bodyDiv w:val="1"/>
      <w:marLeft w:val="0"/>
      <w:marRight w:val="0"/>
      <w:marTop w:val="0"/>
      <w:marBottom w:val="0"/>
      <w:divBdr>
        <w:top w:val="none" w:sz="0" w:space="0" w:color="auto"/>
        <w:left w:val="none" w:sz="0" w:space="0" w:color="auto"/>
        <w:bottom w:val="none" w:sz="0" w:space="0" w:color="auto"/>
        <w:right w:val="none" w:sz="0" w:space="0" w:color="auto"/>
      </w:divBdr>
    </w:div>
    <w:div w:id="1686862262">
      <w:bodyDiv w:val="1"/>
      <w:marLeft w:val="0"/>
      <w:marRight w:val="0"/>
      <w:marTop w:val="0"/>
      <w:marBottom w:val="0"/>
      <w:divBdr>
        <w:top w:val="none" w:sz="0" w:space="0" w:color="auto"/>
        <w:left w:val="none" w:sz="0" w:space="0" w:color="auto"/>
        <w:bottom w:val="none" w:sz="0" w:space="0" w:color="auto"/>
        <w:right w:val="none" w:sz="0" w:space="0" w:color="auto"/>
      </w:divBdr>
      <w:divsChild>
        <w:div w:id="410392909">
          <w:marLeft w:val="0"/>
          <w:marRight w:val="0"/>
          <w:marTop w:val="0"/>
          <w:marBottom w:val="0"/>
          <w:divBdr>
            <w:top w:val="none" w:sz="0" w:space="0" w:color="auto"/>
            <w:left w:val="none" w:sz="0" w:space="0" w:color="auto"/>
            <w:bottom w:val="none" w:sz="0" w:space="0" w:color="auto"/>
            <w:right w:val="none" w:sz="0" w:space="0" w:color="auto"/>
          </w:divBdr>
        </w:div>
        <w:div w:id="845292930">
          <w:marLeft w:val="0"/>
          <w:marRight w:val="0"/>
          <w:marTop w:val="0"/>
          <w:marBottom w:val="0"/>
          <w:divBdr>
            <w:top w:val="none" w:sz="0" w:space="0" w:color="auto"/>
            <w:left w:val="none" w:sz="0" w:space="0" w:color="auto"/>
            <w:bottom w:val="none" w:sz="0" w:space="0" w:color="auto"/>
            <w:right w:val="none" w:sz="0" w:space="0" w:color="auto"/>
          </w:divBdr>
        </w:div>
        <w:div w:id="2083916272">
          <w:marLeft w:val="0"/>
          <w:marRight w:val="0"/>
          <w:marTop w:val="0"/>
          <w:marBottom w:val="0"/>
          <w:divBdr>
            <w:top w:val="none" w:sz="0" w:space="0" w:color="auto"/>
            <w:left w:val="none" w:sz="0" w:space="0" w:color="auto"/>
            <w:bottom w:val="none" w:sz="0" w:space="0" w:color="auto"/>
            <w:right w:val="none" w:sz="0" w:space="0" w:color="auto"/>
          </w:divBdr>
        </w:div>
        <w:div w:id="1445033124">
          <w:marLeft w:val="0"/>
          <w:marRight w:val="0"/>
          <w:marTop w:val="0"/>
          <w:marBottom w:val="0"/>
          <w:divBdr>
            <w:top w:val="none" w:sz="0" w:space="0" w:color="auto"/>
            <w:left w:val="none" w:sz="0" w:space="0" w:color="auto"/>
            <w:bottom w:val="none" w:sz="0" w:space="0" w:color="auto"/>
            <w:right w:val="none" w:sz="0" w:space="0" w:color="auto"/>
          </w:divBdr>
        </w:div>
        <w:div w:id="1658994563">
          <w:marLeft w:val="0"/>
          <w:marRight w:val="0"/>
          <w:marTop w:val="0"/>
          <w:marBottom w:val="0"/>
          <w:divBdr>
            <w:top w:val="none" w:sz="0" w:space="0" w:color="auto"/>
            <w:left w:val="none" w:sz="0" w:space="0" w:color="auto"/>
            <w:bottom w:val="none" w:sz="0" w:space="0" w:color="auto"/>
            <w:right w:val="none" w:sz="0" w:space="0" w:color="auto"/>
          </w:divBdr>
        </w:div>
        <w:div w:id="531384654">
          <w:marLeft w:val="0"/>
          <w:marRight w:val="0"/>
          <w:marTop w:val="0"/>
          <w:marBottom w:val="0"/>
          <w:divBdr>
            <w:top w:val="none" w:sz="0" w:space="0" w:color="auto"/>
            <w:left w:val="none" w:sz="0" w:space="0" w:color="auto"/>
            <w:bottom w:val="none" w:sz="0" w:space="0" w:color="auto"/>
            <w:right w:val="none" w:sz="0" w:space="0" w:color="auto"/>
          </w:divBdr>
        </w:div>
      </w:divsChild>
    </w:div>
    <w:div w:id="1716736121">
      <w:bodyDiv w:val="1"/>
      <w:marLeft w:val="0"/>
      <w:marRight w:val="0"/>
      <w:marTop w:val="0"/>
      <w:marBottom w:val="0"/>
      <w:divBdr>
        <w:top w:val="none" w:sz="0" w:space="0" w:color="auto"/>
        <w:left w:val="none" w:sz="0" w:space="0" w:color="auto"/>
        <w:bottom w:val="none" w:sz="0" w:space="0" w:color="auto"/>
        <w:right w:val="none" w:sz="0" w:space="0" w:color="auto"/>
      </w:divBdr>
    </w:div>
    <w:div w:id="1740979410">
      <w:bodyDiv w:val="1"/>
      <w:marLeft w:val="0"/>
      <w:marRight w:val="0"/>
      <w:marTop w:val="0"/>
      <w:marBottom w:val="0"/>
      <w:divBdr>
        <w:top w:val="none" w:sz="0" w:space="0" w:color="auto"/>
        <w:left w:val="none" w:sz="0" w:space="0" w:color="auto"/>
        <w:bottom w:val="none" w:sz="0" w:space="0" w:color="auto"/>
        <w:right w:val="none" w:sz="0" w:space="0" w:color="auto"/>
      </w:divBdr>
      <w:divsChild>
        <w:div w:id="1548494610">
          <w:marLeft w:val="0"/>
          <w:marRight w:val="0"/>
          <w:marTop w:val="0"/>
          <w:marBottom w:val="0"/>
          <w:divBdr>
            <w:top w:val="none" w:sz="0" w:space="0" w:color="auto"/>
            <w:left w:val="none" w:sz="0" w:space="0" w:color="auto"/>
            <w:bottom w:val="none" w:sz="0" w:space="0" w:color="auto"/>
            <w:right w:val="none" w:sz="0" w:space="0" w:color="auto"/>
          </w:divBdr>
        </w:div>
        <w:div w:id="2110926977">
          <w:marLeft w:val="0"/>
          <w:marRight w:val="0"/>
          <w:marTop w:val="0"/>
          <w:marBottom w:val="0"/>
          <w:divBdr>
            <w:top w:val="none" w:sz="0" w:space="0" w:color="auto"/>
            <w:left w:val="none" w:sz="0" w:space="0" w:color="auto"/>
            <w:bottom w:val="none" w:sz="0" w:space="0" w:color="auto"/>
            <w:right w:val="none" w:sz="0" w:space="0" w:color="auto"/>
          </w:divBdr>
        </w:div>
        <w:div w:id="1791393779">
          <w:marLeft w:val="0"/>
          <w:marRight w:val="0"/>
          <w:marTop w:val="0"/>
          <w:marBottom w:val="0"/>
          <w:divBdr>
            <w:top w:val="none" w:sz="0" w:space="0" w:color="auto"/>
            <w:left w:val="none" w:sz="0" w:space="0" w:color="auto"/>
            <w:bottom w:val="none" w:sz="0" w:space="0" w:color="auto"/>
            <w:right w:val="none" w:sz="0" w:space="0" w:color="auto"/>
          </w:divBdr>
        </w:div>
        <w:div w:id="1077359656">
          <w:marLeft w:val="0"/>
          <w:marRight w:val="0"/>
          <w:marTop w:val="0"/>
          <w:marBottom w:val="0"/>
          <w:divBdr>
            <w:top w:val="none" w:sz="0" w:space="0" w:color="auto"/>
            <w:left w:val="none" w:sz="0" w:space="0" w:color="auto"/>
            <w:bottom w:val="none" w:sz="0" w:space="0" w:color="auto"/>
            <w:right w:val="none" w:sz="0" w:space="0" w:color="auto"/>
          </w:divBdr>
        </w:div>
      </w:divsChild>
    </w:div>
    <w:div w:id="1771126084">
      <w:bodyDiv w:val="1"/>
      <w:marLeft w:val="0"/>
      <w:marRight w:val="0"/>
      <w:marTop w:val="0"/>
      <w:marBottom w:val="0"/>
      <w:divBdr>
        <w:top w:val="none" w:sz="0" w:space="0" w:color="auto"/>
        <w:left w:val="none" w:sz="0" w:space="0" w:color="auto"/>
        <w:bottom w:val="none" w:sz="0" w:space="0" w:color="auto"/>
        <w:right w:val="none" w:sz="0" w:space="0" w:color="auto"/>
      </w:divBdr>
    </w:div>
    <w:div w:id="1774134252">
      <w:bodyDiv w:val="1"/>
      <w:marLeft w:val="0"/>
      <w:marRight w:val="0"/>
      <w:marTop w:val="0"/>
      <w:marBottom w:val="0"/>
      <w:divBdr>
        <w:top w:val="none" w:sz="0" w:space="0" w:color="auto"/>
        <w:left w:val="none" w:sz="0" w:space="0" w:color="auto"/>
        <w:bottom w:val="none" w:sz="0" w:space="0" w:color="auto"/>
        <w:right w:val="none" w:sz="0" w:space="0" w:color="auto"/>
      </w:divBdr>
    </w:div>
    <w:div w:id="1798719310">
      <w:bodyDiv w:val="1"/>
      <w:marLeft w:val="0"/>
      <w:marRight w:val="0"/>
      <w:marTop w:val="0"/>
      <w:marBottom w:val="0"/>
      <w:divBdr>
        <w:top w:val="none" w:sz="0" w:space="0" w:color="auto"/>
        <w:left w:val="none" w:sz="0" w:space="0" w:color="auto"/>
        <w:bottom w:val="none" w:sz="0" w:space="0" w:color="auto"/>
        <w:right w:val="none" w:sz="0" w:space="0" w:color="auto"/>
      </w:divBdr>
    </w:div>
    <w:div w:id="1804231401">
      <w:bodyDiv w:val="1"/>
      <w:marLeft w:val="0"/>
      <w:marRight w:val="0"/>
      <w:marTop w:val="0"/>
      <w:marBottom w:val="0"/>
      <w:divBdr>
        <w:top w:val="none" w:sz="0" w:space="0" w:color="auto"/>
        <w:left w:val="none" w:sz="0" w:space="0" w:color="auto"/>
        <w:bottom w:val="none" w:sz="0" w:space="0" w:color="auto"/>
        <w:right w:val="none" w:sz="0" w:space="0" w:color="auto"/>
      </w:divBdr>
    </w:div>
    <w:div w:id="1826123404">
      <w:bodyDiv w:val="1"/>
      <w:marLeft w:val="0"/>
      <w:marRight w:val="0"/>
      <w:marTop w:val="0"/>
      <w:marBottom w:val="0"/>
      <w:divBdr>
        <w:top w:val="none" w:sz="0" w:space="0" w:color="auto"/>
        <w:left w:val="none" w:sz="0" w:space="0" w:color="auto"/>
        <w:bottom w:val="none" w:sz="0" w:space="0" w:color="auto"/>
        <w:right w:val="none" w:sz="0" w:space="0" w:color="auto"/>
      </w:divBdr>
    </w:div>
    <w:div w:id="1920867403">
      <w:bodyDiv w:val="1"/>
      <w:marLeft w:val="0"/>
      <w:marRight w:val="0"/>
      <w:marTop w:val="0"/>
      <w:marBottom w:val="0"/>
      <w:divBdr>
        <w:top w:val="none" w:sz="0" w:space="0" w:color="auto"/>
        <w:left w:val="none" w:sz="0" w:space="0" w:color="auto"/>
        <w:bottom w:val="none" w:sz="0" w:space="0" w:color="auto"/>
        <w:right w:val="none" w:sz="0" w:space="0" w:color="auto"/>
      </w:divBdr>
    </w:div>
    <w:div w:id="1927834841">
      <w:bodyDiv w:val="1"/>
      <w:marLeft w:val="0"/>
      <w:marRight w:val="0"/>
      <w:marTop w:val="0"/>
      <w:marBottom w:val="0"/>
      <w:divBdr>
        <w:top w:val="none" w:sz="0" w:space="0" w:color="auto"/>
        <w:left w:val="none" w:sz="0" w:space="0" w:color="auto"/>
        <w:bottom w:val="none" w:sz="0" w:space="0" w:color="auto"/>
        <w:right w:val="none" w:sz="0" w:space="0" w:color="auto"/>
      </w:divBdr>
    </w:div>
    <w:div w:id="1936400110">
      <w:bodyDiv w:val="1"/>
      <w:marLeft w:val="0"/>
      <w:marRight w:val="0"/>
      <w:marTop w:val="0"/>
      <w:marBottom w:val="0"/>
      <w:divBdr>
        <w:top w:val="none" w:sz="0" w:space="0" w:color="auto"/>
        <w:left w:val="none" w:sz="0" w:space="0" w:color="auto"/>
        <w:bottom w:val="none" w:sz="0" w:space="0" w:color="auto"/>
        <w:right w:val="none" w:sz="0" w:space="0" w:color="auto"/>
      </w:divBdr>
    </w:div>
    <w:div w:id="2005081178">
      <w:bodyDiv w:val="1"/>
      <w:marLeft w:val="0"/>
      <w:marRight w:val="0"/>
      <w:marTop w:val="0"/>
      <w:marBottom w:val="0"/>
      <w:divBdr>
        <w:top w:val="none" w:sz="0" w:space="0" w:color="auto"/>
        <w:left w:val="none" w:sz="0" w:space="0" w:color="auto"/>
        <w:bottom w:val="none" w:sz="0" w:space="0" w:color="auto"/>
        <w:right w:val="none" w:sz="0" w:space="0" w:color="auto"/>
      </w:divBdr>
    </w:div>
    <w:div w:id="2044477852">
      <w:bodyDiv w:val="1"/>
      <w:marLeft w:val="0"/>
      <w:marRight w:val="0"/>
      <w:marTop w:val="0"/>
      <w:marBottom w:val="0"/>
      <w:divBdr>
        <w:top w:val="none" w:sz="0" w:space="0" w:color="auto"/>
        <w:left w:val="none" w:sz="0" w:space="0" w:color="auto"/>
        <w:bottom w:val="none" w:sz="0" w:space="0" w:color="auto"/>
        <w:right w:val="none" w:sz="0" w:space="0" w:color="auto"/>
      </w:divBdr>
    </w:div>
    <w:div w:id="2058044967">
      <w:bodyDiv w:val="1"/>
      <w:marLeft w:val="0"/>
      <w:marRight w:val="0"/>
      <w:marTop w:val="0"/>
      <w:marBottom w:val="0"/>
      <w:divBdr>
        <w:top w:val="none" w:sz="0" w:space="0" w:color="auto"/>
        <w:left w:val="none" w:sz="0" w:space="0" w:color="auto"/>
        <w:bottom w:val="none" w:sz="0" w:space="0" w:color="auto"/>
        <w:right w:val="none" w:sz="0" w:space="0" w:color="auto"/>
      </w:divBdr>
    </w:div>
    <w:div w:id="211027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hyperlink" Target="https://doi.org/10.1016/j.ssci.2019.03.026" TargetMode="External"/><Relationship Id="rId50" Type="http://schemas.openxmlformats.org/officeDocument/2006/relationships/hyperlink" Target="https://doi.org/10.1016/s0925-7535(00)00014-x" TargetMode="External"/><Relationship Id="rId55" Type="http://schemas.openxmlformats.org/officeDocument/2006/relationships/hyperlink" Target="https://zip.postcodebase.com/" TargetMode="External"/><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doi.org/10.1097/01.aoa.0000426099.31929.92" TargetMode="External"/><Relationship Id="rId58" Type="http://schemas.openxmlformats.org/officeDocument/2006/relationships/hyperlink" Target="https://doi.org/10.1097/01.anc.0000333700.86195.e5" TargetMode="External"/><Relationship Id="rId5" Type="http://schemas.openxmlformats.org/officeDocument/2006/relationships/footnotes" Target="footnotes.xml"/><Relationship Id="rId61" Type="http://schemas.openxmlformats.org/officeDocument/2006/relationships/hyperlink" Target="https://doi.org/10.7326/0003-4819-158-5-201303051-00002" TargetMode="Externa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hyperlink" Target="https://link.springer.com/article/10.1007%2Fs10577-009-9093-3" TargetMode="External"/><Relationship Id="rId43" Type="http://schemas.openxmlformats.org/officeDocument/2006/relationships/image" Target="media/image36.png"/><Relationship Id="rId48" Type="http://schemas.openxmlformats.org/officeDocument/2006/relationships/hyperlink" Target="https://www.osha.gov/safety-management/hazard-Identification" TargetMode="External"/><Relationship Id="rId56" Type="http://schemas.openxmlformats.org/officeDocument/2006/relationships/hyperlink" Target="https://www.nytimes.com/2016/01/10/magazine/the-lawyer-who-became-duponts-worst-nightmare.html"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doi.org/10.1177/0193945919838990"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png"/><Relationship Id="rId46" Type="http://schemas.openxmlformats.org/officeDocument/2006/relationships/hyperlink" Target="https://doi.org/10.1097/00043764-198511000-00021" TargetMode="External"/><Relationship Id="rId59" Type="http://schemas.openxmlformats.org/officeDocument/2006/relationships/hyperlink" Target="https://doi.org/10.1177/216507998903700704" TargetMode="External"/><Relationship Id="rId20" Type="http://schemas.openxmlformats.org/officeDocument/2006/relationships/image" Target="media/image14.jpeg"/><Relationship Id="rId41" Type="http://schemas.openxmlformats.org/officeDocument/2006/relationships/image" Target="media/image34.png"/><Relationship Id="rId54" Type="http://schemas.openxmlformats.org/officeDocument/2006/relationships/hyperlink" Target="https://www.tandfonline.com/doi/abs/10.1080/01446190010002570" TargetMode="External"/><Relationship Id="rId62" Type="http://schemas.openxmlformats.org/officeDocument/2006/relationships/hyperlink" Target="https://doi.org/10.2190/ns.19.3.b"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hyperlink" Target="https://doi.org/10.1056/nejmp2118285" TargetMode="External"/><Relationship Id="rId57" Type="http://schemas.openxmlformats.org/officeDocument/2006/relationships/hyperlink" Target="https://www.ehn.org/dupont-c8-parkersburg-2644262065/particle-7"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hyperlink" Target="https://academic.oup.com/occmed/article-abstract/39/2/69/1355873" TargetMode="External"/><Relationship Id="rId60" Type="http://schemas.openxmlformats.org/officeDocument/2006/relationships/hyperlink" Target="https://doi.org/10.2139/ssrn.1904620"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66</Pages>
  <Words>16142</Words>
  <Characters>92016</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silvana reid</dc:creator>
  <cp:keywords/>
  <dc:description/>
  <cp:lastModifiedBy>silvana reid</cp:lastModifiedBy>
  <cp:revision>4</cp:revision>
  <dcterms:created xsi:type="dcterms:W3CDTF">2022-04-28T19:07:00Z</dcterms:created>
  <dcterms:modified xsi:type="dcterms:W3CDTF">2022-04-28T19:10:00Z</dcterms:modified>
</cp:coreProperties>
</file>