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Landfill Tonnage Diversion Calculator User Guide</w:t>
      </w:r>
    </w:p>
    <w:p w:rsidR="00000000" w:rsidDel="00000000" w:rsidP="00000000" w:rsidRDefault="00000000" w:rsidRPr="00000000" w14:paraId="00000002">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a training document describing the usage of the Landfill Tonnage Diversion Calculator created by WPI students for Habitat for Humanity.</w:t>
      </w:r>
    </w:p>
    <w:p w:rsidR="00000000" w:rsidDel="00000000" w:rsidP="00000000" w:rsidRDefault="00000000" w:rsidRPr="00000000" w14:paraId="00000004">
      <w:pPr>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document will cover:</w:t>
      </w:r>
    </w:p>
    <w:p w:rsidR="00000000" w:rsidDel="00000000" w:rsidP="00000000" w:rsidRDefault="00000000" w:rsidRPr="00000000" w14:paraId="00000006">
      <w:pPr>
        <w:numPr>
          <w:ilvl w:val="0"/>
          <w:numId w:val="2"/>
        </w:numPr>
        <w:ind w:left="144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Creating a local copy of the document</w:t>
      </w:r>
    </w:p>
    <w:p w:rsidR="00000000" w:rsidDel="00000000" w:rsidP="00000000" w:rsidRDefault="00000000" w:rsidRPr="00000000" w14:paraId="00000007">
      <w:pPr>
        <w:numPr>
          <w:ilvl w:val="0"/>
          <w:numId w:val="2"/>
        </w:numPr>
        <w:ind w:left="144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Entering data and performing the calculation</w:t>
      </w:r>
    </w:p>
    <w:p w:rsidR="00000000" w:rsidDel="00000000" w:rsidP="00000000" w:rsidRDefault="00000000" w:rsidRPr="00000000" w14:paraId="00000008">
      <w:pPr>
        <w:numPr>
          <w:ilvl w:val="0"/>
          <w:numId w:val="2"/>
        </w:numPr>
        <w:ind w:left="144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Modifying the average weights used in the calculation</w:t>
      </w:r>
    </w:p>
    <w:p w:rsidR="00000000" w:rsidDel="00000000" w:rsidP="00000000" w:rsidRDefault="00000000" w:rsidRPr="00000000" w14:paraId="00000009">
      <w:pP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Section 1a: Creating a copy of the document</w:t>
      </w:r>
    </w:p>
    <w:p w:rsidR="00000000" w:rsidDel="00000000" w:rsidP="00000000" w:rsidRDefault="00000000" w:rsidRPr="00000000" w14:paraId="0000000B">
      <w:pPr>
        <w:ind w:lef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C">
      <w:pPr>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Method 1 - Within Excel: select File-&gt;Save As, and save with your desired file name</w:t>
      </w:r>
    </w:p>
    <w:p w:rsidR="00000000" w:rsidDel="00000000" w:rsidP="00000000" w:rsidRDefault="00000000" w:rsidRPr="00000000" w14:paraId="0000000D">
      <w:pPr>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548063" cy="2470796"/>
            <wp:effectExtent b="0" l="0" r="0" t="0"/>
            <wp:docPr id="9" name="image12.png"/>
            <a:graphic>
              <a:graphicData uri="http://schemas.openxmlformats.org/drawingml/2006/picture">
                <pic:pic>
                  <pic:nvPicPr>
                    <pic:cNvPr id="0" name="image12.png"/>
                    <pic:cNvPicPr preferRelativeResize="0"/>
                  </pic:nvPicPr>
                  <pic:blipFill>
                    <a:blip r:embed="rId6"/>
                    <a:srcRect b="0" l="0" r="0" t="0"/>
                    <a:stretch>
                      <a:fillRect/>
                    </a:stretch>
                  </pic:blipFill>
                  <pic:spPr>
                    <a:xfrm>
                      <a:off x="0" y="0"/>
                      <a:ext cx="3548063" cy="2470796"/>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Method 2 - From remote storage: Copy the file from the remote folder to a location on your PC</w:t>
      </w:r>
    </w:p>
    <w:p w:rsidR="00000000" w:rsidDel="00000000" w:rsidP="00000000" w:rsidRDefault="00000000" w:rsidRPr="00000000" w14:paraId="0000000F">
      <w:pPr>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567165" cy="2608153"/>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567165" cy="2608153"/>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Method 3 - From cloud storage: Right-click on the desired file, and select “Download”. The website may warn you that the file could be dangerous- as the source of the file is trusted, it is safe to ignore this warning. Click “Download Anyway”. A copy will be created in your Downloads folder.</w:t>
      </w:r>
    </w:p>
    <w:p w:rsidR="00000000" w:rsidDel="00000000" w:rsidP="00000000" w:rsidRDefault="00000000" w:rsidRPr="00000000" w14:paraId="00000011">
      <w:pPr>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2463800"/>
            <wp:effectExtent b="0" l="0" r="0" t="0"/>
            <wp:docPr id="7"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943600" cy="2463800"/>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Section 1b: Enabling scripts in your copy (Windows)</w:t>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protect people's computers from malicious files, Microsoft has disabled certain features of Excel by default in newer versions of Windows. We need to enable those features (for this file only!) for the calculator to function. To do this, right-click on the Excel document in the Windows file browser, and click on “Properties”</w:t>
      </w:r>
    </w:p>
    <w:p w:rsidR="00000000" w:rsidDel="00000000" w:rsidP="00000000" w:rsidRDefault="00000000" w:rsidRPr="00000000" w14:paraId="00000016">
      <w:pPr>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1849677" cy="2338388"/>
            <wp:effectExtent b="0" l="0" r="0" t="0"/>
            <wp:docPr id="8"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1849677" cy="2338388"/>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ind w:lef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ind w:lef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ind w:lef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ind w:lef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ind w:lef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the bottom of the properties window, check for a tick box labeled “Unblock” If it exists, select it, click “Apply”, and then “OK”. Alternatively, if the “Unblock” box does not exist, you may proceed.</w:t>
      </w:r>
    </w:p>
    <w:p w:rsidR="00000000" w:rsidDel="00000000" w:rsidP="00000000" w:rsidRDefault="00000000" w:rsidRPr="00000000" w14:paraId="0000001D">
      <w:pPr>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1950032" cy="2724392"/>
            <wp:effectExtent b="0" l="0" r="0" t="0"/>
            <wp:docPr id="11" name="image6.png"/>
            <a:graphic>
              <a:graphicData uri="http://schemas.openxmlformats.org/drawingml/2006/picture">
                <pic:pic>
                  <pic:nvPicPr>
                    <pic:cNvPr id="0" name="image6.png"/>
                    <pic:cNvPicPr preferRelativeResize="0"/>
                  </pic:nvPicPr>
                  <pic:blipFill>
                    <a:blip r:embed="rId10"/>
                    <a:srcRect b="0" l="0" r="0" t="0"/>
                    <a:stretch>
                      <a:fillRect/>
                    </a:stretch>
                  </pic:blipFill>
                  <pic:spPr>
                    <a:xfrm>
                      <a:off x="0" y="0"/>
                      <a:ext cx="1950032" cy="2724392"/>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open the document in Excel. At the top of the document, you will see a yellow warning about macros. The calculator requires macros to be enabled, so click “Enable content”.</w:t>
      </w:r>
    </w:p>
    <w:p w:rsidR="00000000" w:rsidDel="00000000" w:rsidP="00000000" w:rsidRDefault="00000000" w:rsidRPr="00000000" w14:paraId="00000020">
      <w:pPr>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4495800" cy="1628775"/>
            <wp:effectExtent b="0" l="0" r="0" t="0"/>
            <wp:docPr id="4"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4495800" cy="1628775"/>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are now ready to use the calculator.</w:t>
      </w:r>
    </w:p>
    <w:p w:rsidR="00000000" w:rsidDel="00000000" w:rsidP="00000000" w:rsidRDefault="00000000" w:rsidRPr="00000000" w14:paraId="00000023">
      <w:pP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Section 2: Using the Calculator:</w:t>
      </w:r>
    </w:p>
    <w:p w:rsidR="00000000" w:rsidDel="00000000" w:rsidP="00000000" w:rsidRDefault="00000000" w:rsidRPr="00000000" w14:paraId="0000002C">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Open the copied Excel document. The interface should look like this:</w:t>
      </w:r>
    </w:p>
    <w:p w:rsidR="00000000" w:rsidDel="00000000" w:rsidP="00000000" w:rsidRDefault="00000000" w:rsidRPr="00000000" w14:paraId="0000002D">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4776788" cy="2234923"/>
            <wp:effectExtent b="0" l="0" r="0" t="0"/>
            <wp:docPr id="5" name="image10.png"/>
            <a:graphic>
              <a:graphicData uri="http://schemas.openxmlformats.org/drawingml/2006/picture">
                <pic:pic>
                  <pic:nvPicPr>
                    <pic:cNvPr id="0" name="image10.png"/>
                    <pic:cNvPicPr preferRelativeResize="0"/>
                  </pic:nvPicPr>
                  <pic:blipFill>
                    <a:blip r:embed="rId12"/>
                    <a:srcRect b="0" l="0" r="0" t="0"/>
                    <a:stretch>
                      <a:fillRect/>
                    </a:stretch>
                  </pic:blipFill>
                  <pic:spPr>
                    <a:xfrm>
                      <a:off x="0" y="0"/>
                      <a:ext cx="4776788" cy="2234923"/>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of the categories in the interface are generated from the columns on the left.</w:t>
      </w:r>
    </w:p>
    <w:p w:rsidR="00000000" w:rsidDel="00000000" w:rsidP="00000000" w:rsidRDefault="00000000" w:rsidRPr="00000000" w14:paraId="0000002F">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4799235" cy="2284251"/>
            <wp:effectExtent b="0" l="0" r="0" t="0"/>
            <wp:docPr id="2" name="image9.png"/>
            <a:graphic>
              <a:graphicData uri="http://schemas.openxmlformats.org/drawingml/2006/picture">
                <pic:pic>
                  <pic:nvPicPr>
                    <pic:cNvPr id="0" name="image9.png"/>
                    <pic:cNvPicPr preferRelativeResize="0"/>
                  </pic:nvPicPr>
                  <pic:blipFill>
                    <a:blip r:embed="rId13"/>
                    <a:srcRect b="0" l="0" r="0" t="0"/>
                    <a:stretch>
                      <a:fillRect/>
                    </a:stretch>
                  </pic:blipFill>
                  <pic:spPr>
                    <a:xfrm>
                      <a:off x="0" y="0"/>
                      <a:ext cx="4799235" cy="2284251"/>
                    </a:xfrm>
                    <a:prstGeom prst="rect"/>
                    <a:ln/>
                  </pic:spPr>
                </pic:pic>
              </a:graphicData>
            </a:graphic>
          </wp:inline>
        </w:drawing>
      </w:r>
      <w:r w:rsidDel="00000000" w:rsidR="00000000" w:rsidRPr="00000000">
        <w:rPr>
          <w:rtl w:val="0"/>
        </w:rPr>
      </w:r>
    </w:p>
    <w:p w:rsidR="00000000" w:rsidDel="00000000" w:rsidP="00000000" w:rsidRDefault="00000000" w:rsidRPr="00000000" w14:paraId="00000030">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Input quantity sold values for each department you have data for. Once values are populated, press ‘Calculate’. The number displayed under the ‘Calculate’ button is the estimated landfill tonnage diversion. </w:t>
      </w:r>
    </w:p>
    <w:p w:rsidR="00000000" w:rsidDel="00000000" w:rsidP="00000000" w:rsidRDefault="00000000" w:rsidRPr="00000000" w14:paraId="00000031">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4700588" cy="2177035"/>
            <wp:effectExtent b="0" l="0" r="0" t="0"/>
            <wp:docPr id="12" name="image8.png"/>
            <a:graphic>
              <a:graphicData uri="http://schemas.openxmlformats.org/drawingml/2006/picture">
                <pic:pic>
                  <pic:nvPicPr>
                    <pic:cNvPr id="0" name="image8.png"/>
                    <pic:cNvPicPr preferRelativeResize="0"/>
                  </pic:nvPicPr>
                  <pic:blipFill>
                    <a:blip r:embed="rId14"/>
                    <a:srcRect b="0" l="0" r="0" t="0"/>
                    <a:stretch>
                      <a:fillRect/>
                    </a:stretch>
                  </pic:blipFill>
                  <pic:spPr>
                    <a:xfrm>
                      <a:off x="0" y="0"/>
                      <a:ext cx="4700588" cy="2177035"/>
                    </a:xfrm>
                    <a:prstGeom prst="rect"/>
                    <a:ln/>
                  </pic:spPr>
                </pic:pic>
              </a:graphicData>
            </a:graphic>
          </wp:inline>
        </w:drawing>
      </w:r>
      <w:r w:rsidDel="00000000" w:rsidR="00000000" w:rsidRPr="00000000">
        <w:rPr>
          <w:rtl w:val="0"/>
        </w:rPr>
      </w:r>
    </w:p>
    <w:p w:rsidR="00000000" w:rsidDel="00000000" w:rsidP="00000000" w:rsidRDefault="00000000" w:rsidRPr="00000000" w14:paraId="00000032">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there are any errors in fields (non-numeric characters, negative sales values), a warning will be displayed. </w:t>
      </w:r>
    </w:p>
    <w:p w:rsidR="00000000" w:rsidDel="00000000" w:rsidP="00000000" w:rsidRDefault="00000000" w:rsidRPr="00000000" w14:paraId="00000034">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4232906" cy="1944849"/>
            <wp:effectExtent b="0" l="0" r="0" t="0"/>
            <wp:docPr id="6" name="image11.png"/>
            <a:graphic>
              <a:graphicData uri="http://schemas.openxmlformats.org/drawingml/2006/picture">
                <pic:pic>
                  <pic:nvPicPr>
                    <pic:cNvPr id="0" name="image11.png"/>
                    <pic:cNvPicPr preferRelativeResize="0"/>
                  </pic:nvPicPr>
                  <pic:blipFill>
                    <a:blip r:embed="rId15"/>
                    <a:srcRect b="0" l="0" r="0" t="0"/>
                    <a:stretch>
                      <a:fillRect/>
                    </a:stretch>
                  </pic:blipFill>
                  <pic:spPr>
                    <a:xfrm>
                      <a:off x="0" y="0"/>
                      <a:ext cx="4232906" cy="1944849"/>
                    </a:xfrm>
                    <a:prstGeom prst="rect"/>
                    <a:ln/>
                  </pic:spPr>
                </pic:pic>
              </a:graphicData>
            </a:graphic>
          </wp:inline>
        </w:drawing>
      </w: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Customization Features:</w:t>
      </w:r>
    </w:p>
    <w:p w:rsidR="00000000" w:rsidDel="00000000" w:rsidP="00000000" w:rsidRDefault="00000000" w:rsidRPr="00000000" w14:paraId="00000036">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there is a department you do not use, you may simply leave the field blank.</w:t>
      </w:r>
    </w:p>
    <w:p w:rsidR="00000000" w:rsidDel="00000000" w:rsidP="00000000" w:rsidRDefault="00000000" w:rsidRPr="00000000" w14:paraId="00000037">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there is a department you’d like to add, you can press the “Add Category” button at the bottom right of the calculator:</w:t>
      </w:r>
    </w:p>
    <w:p w:rsidR="00000000" w:rsidDel="00000000" w:rsidP="00000000" w:rsidRDefault="00000000" w:rsidRPr="00000000" w14:paraId="00000038">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348038" cy="1528311"/>
            <wp:effectExtent b="0" l="0" r="0" t="0"/>
            <wp:docPr id="10" name="image4.png"/>
            <a:graphic>
              <a:graphicData uri="http://schemas.openxmlformats.org/drawingml/2006/picture">
                <pic:pic>
                  <pic:nvPicPr>
                    <pic:cNvPr id="0" name="image4.png"/>
                    <pic:cNvPicPr preferRelativeResize="0"/>
                  </pic:nvPicPr>
                  <pic:blipFill>
                    <a:blip r:embed="rId16"/>
                    <a:srcRect b="0" l="0" r="0" t="0"/>
                    <a:stretch>
                      <a:fillRect/>
                    </a:stretch>
                  </pic:blipFill>
                  <pic:spPr>
                    <a:xfrm>
                      <a:off x="0" y="0"/>
                      <a:ext cx="3348038" cy="1528311"/>
                    </a:xfrm>
                    <a:prstGeom prst="rect"/>
                    <a:ln/>
                  </pic:spPr>
                </pic:pic>
              </a:graphicData>
            </a:graphic>
          </wp:inline>
        </w:drawing>
      </w:r>
      <w:r w:rsidDel="00000000" w:rsidR="00000000" w:rsidRPr="00000000">
        <w:rPr>
          <w:rtl w:val="0"/>
        </w:rPr>
      </w:r>
    </w:p>
    <w:p w:rsidR="00000000" w:rsidDel="00000000" w:rsidP="00000000" w:rsidRDefault="00000000" w:rsidRPr="00000000" w14:paraId="00000039">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will create the following interface:</w:t>
      </w:r>
    </w:p>
    <w:p w:rsidR="00000000" w:rsidDel="00000000" w:rsidP="00000000" w:rsidRDefault="00000000" w:rsidRPr="00000000" w14:paraId="0000003A">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1238250" cy="1571625"/>
            <wp:effectExtent b="0" l="0" r="0" t="0"/>
            <wp:docPr id="3" name="image1.png"/>
            <a:graphic>
              <a:graphicData uri="http://schemas.openxmlformats.org/drawingml/2006/picture">
                <pic:pic>
                  <pic:nvPicPr>
                    <pic:cNvPr id="0" name="image1.png"/>
                    <pic:cNvPicPr preferRelativeResize="0"/>
                  </pic:nvPicPr>
                  <pic:blipFill>
                    <a:blip r:embed="rId17"/>
                    <a:srcRect b="0" l="0" r="0" t="0"/>
                    <a:stretch>
                      <a:fillRect/>
                    </a:stretch>
                  </pic:blipFill>
                  <pic:spPr>
                    <a:xfrm>
                      <a:off x="0" y="0"/>
                      <a:ext cx="1238250" cy="1571625"/>
                    </a:xfrm>
                    <a:prstGeom prst="rect"/>
                    <a:ln/>
                  </pic:spPr>
                </pic:pic>
              </a:graphicData>
            </a:graphic>
          </wp:inline>
        </w:drawing>
      </w:r>
      <w:r w:rsidDel="00000000" w:rsidR="00000000" w:rsidRPr="00000000">
        <w:rPr>
          <w:rtl w:val="0"/>
        </w:rPr>
      </w:r>
    </w:p>
    <w:p w:rsidR="00000000" w:rsidDel="00000000" w:rsidP="00000000" w:rsidRDefault="00000000" w:rsidRPr="00000000" w14:paraId="0000003B">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Here you may enter your desired category name and updated average weights (see attached document for instructions on how &amp; why to do this). The department will be added to the calculator when you press “Add”.</w:t>
      </w:r>
    </w:p>
    <w:p w:rsidR="00000000" w:rsidDel="00000000" w:rsidP="00000000" w:rsidRDefault="00000000" w:rsidRPr="00000000" w14:paraId="0000003C">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may also manually type a category name into a cell directly underneath the existing column of categories along with the average weight of that category in LBS, and the category will be added the next time the calculator is opened, either by reloading the sheet or by pressing “Open calculator”.</w:t>
      </w:r>
    </w:p>
    <w:p w:rsidR="00000000" w:rsidDel="00000000" w:rsidP="00000000" w:rsidRDefault="00000000" w:rsidRPr="00000000" w14:paraId="0000003E">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you wish to revise the average weight for a category: Replace the existing average weight next to the category name with the desired value.</w:t>
      </w:r>
    </w:p>
    <w:sectPr>
      <w:footerReference r:id="rId1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6.png"/><Relationship Id="rId13" Type="http://schemas.openxmlformats.org/officeDocument/2006/relationships/image" Target="media/image9.png"/><Relationship Id="rId12" Type="http://schemas.openxmlformats.org/officeDocument/2006/relationships/image" Target="media/image10.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image" Target="media/image11.png"/><Relationship Id="rId14" Type="http://schemas.openxmlformats.org/officeDocument/2006/relationships/image" Target="media/image8.png"/><Relationship Id="rId17" Type="http://schemas.openxmlformats.org/officeDocument/2006/relationships/image" Target="media/image1.png"/><Relationship Id="rId16" Type="http://schemas.openxmlformats.org/officeDocument/2006/relationships/image" Target="media/image4.png"/><Relationship Id="rId5" Type="http://schemas.openxmlformats.org/officeDocument/2006/relationships/styles" Target="styles.xml"/><Relationship Id="rId6" Type="http://schemas.openxmlformats.org/officeDocument/2006/relationships/image" Target="media/image12.png"/><Relationship Id="rId18" Type="http://schemas.openxmlformats.org/officeDocument/2006/relationships/footer" Target="footer1.xml"/><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