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24"/>
          <w:szCs w:val="24"/>
        </w:rPr>
      </w:pPr>
      <w:r w:rsidDel="00000000" w:rsidR="00000000" w:rsidRPr="00000000">
        <w:rPr>
          <w:sz w:val="24"/>
          <w:szCs w:val="24"/>
          <w:rtl w:val="0"/>
        </w:rPr>
        <w:t xml:space="preserve">Public/Taxi EV:</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Basic information on all possible EVs both available and not to CR. Info like price, connector standard, battery capacity, range.</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sz w:val="24"/>
          <w:szCs w:val="24"/>
        </w:rPr>
      </w:pPr>
      <w:r w:rsidDel="00000000" w:rsidR="00000000" w:rsidRPr="00000000">
        <w:rPr>
          <w:sz w:val="24"/>
          <w:szCs w:val="24"/>
          <w:rtl w:val="0"/>
        </w:rPr>
        <w:t xml:space="preserve">EV Import Tax Calculator:</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Using Excel’s formulas we can calculate the accurate taxes a car would receive. Mostly based on the retail price of the vehicle. Enter vehicles prices in the cyan cell and you will receive its tax prices under the green cell. This is based on a breakdown of the import tax exemptions on electric vehicles established by Law 9518 provided to us by Sr. Alan Blanco of the CNFL.</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sz w:val="24"/>
          <w:szCs w:val="24"/>
        </w:rPr>
      </w:pPr>
      <w:r w:rsidDel="00000000" w:rsidR="00000000" w:rsidRPr="00000000">
        <w:rPr>
          <w:sz w:val="24"/>
          <w:szCs w:val="24"/>
          <w:rtl w:val="0"/>
        </w:rPr>
        <w:t xml:space="preserve">CNFL Tax Calculator:</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Using Excel’s formulas we can calculate the accurate taxes specific to recently rate adjustments the CNFL has provided. Inputting the values of Energy and Power consumption into the appropriate cell for the appropriate tax section will result in the calculated price of tax.</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sz w:val="24"/>
          <w:szCs w:val="24"/>
        </w:rPr>
      </w:pPr>
      <w:r w:rsidDel="00000000" w:rsidR="00000000" w:rsidRPr="00000000">
        <w:rPr>
          <w:sz w:val="24"/>
          <w:szCs w:val="24"/>
          <w:rtl w:val="0"/>
        </w:rPr>
        <w:t xml:space="preserve">Public/Freight Transport EVs:</w:t>
      </w:r>
    </w:p>
    <w:p w:rsidR="00000000" w:rsidDel="00000000" w:rsidP="00000000" w:rsidRDefault="00000000" w:rsidRPr="00000000" w14:paraId="0000000E">
      <w:pPr>
        <w:rPr>
          <w:sz w:val="24"/>
          <w:szCs w:val="24"/>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Similar to Public/Taxi EV but more specific to Commercial vehicles.</w:t>
      </w: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sz w:val="24"/>
          <w:szCs w:val="24"/>
          <w:rtl w:val="0"/>
        </w:rPr>
        <w:t xml:space="preserve">Public/Freight Company Investment:</w:t>
      </w: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Would calculate the initial investment a company would make depending on how many vehicles it would purchase. Takes into consideration number and cost of charging stations of each type, electricity tariffs, costs to charge the vehicles, estimated maintenance costs, days of operation out of the year, and daily range necessities against a vehicle’s range.</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sz w:val="24"/>
          <w:szCs w:val="24"/>
        </w:rPr>
      </w:pPr>
      <w:r w:rsidDel="00000000" w:rsidR="00000000" w:rsidRPr="00000000">
        <w:rPr>
          <w:sz w:val="24"/>
          <w:szCs w:val="24"/>
          <w:rtl w:val="0"/>
        </w:rPr>
        <w:t xml:space="preserve">Transport Company Return:</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This chart will determine how long it will take a company to pay off the initial investment through money saved using electricity to power their vehicles instead of fossil fuels, as well as money saved on maintenance.</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sz w:val="24"/>
          <w:szCs w:val="24"/>
        </w:rPr>
      </w:pPr>
      <w:r w:rsidDel="00000000" w:rsidR="00000000" w:rsidRPr="00000000">
        <w:rPr>
          <w:sz w:val="24"/>
          <w:szCs w:val="24"/>
          <w:rtl w:val="0"/>
        </w:rPr>
        <w:t xml:space="preserve">Charging Stations:</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Breaks down each kind of charging station option and compares it to others. Useful to estimate charging times and charging costs using each charger.</w:t>
      </w: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sz w:val="24"/>
          <w:szCs w:val="24"/>
        </w:rPr>
      </w:pPr>
      <w:r w:rsidDel="00000000" w:rsidR="00000000" w:rsidRPr="00000000">
        <w:rPr>
          <w:sz w:val="24"/>
          <w:szCs w:val="24"/>
          <w:rtl w:val="0"/>
        </w:rPr>
        <w:t xml:space="preserve">Company Investment Guide</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Considers company employee count, employee methods of commute, distance of average commute, number of new company cars required, and expected daily car travel distance to recommend number of charging stations. Generates recommended numbers of fast charging and level two charging stations with goal of identifying the smallest initial investment that will match daytime charging needs.</w:t>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